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A1F07" w:rsidRDefault="00EB36FA" w:rsidP="00BA1F07">
      <w:pPr>
        <w:rPr>
          <w:rFonts w:ascii="Arial" w:hAnsi="Arial" w:cs="Arial"/>
          <w:lang w:val="az-Latn-AZ"/>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BA1F07">
        <w:rPr>
          <w:rFonts w:ascii="Arial" w:hAnsi="Arial" w:cs="Arial"/>
          <w:b/>
          <w:sz w:val="24"/>
          <w:szCs w:val="24"/>
          <w:lang w:val="az-Latn-AZ" w:eastAsia="ru-RU"/>
        </w:rPr>
        <w:t xml:space="preserve">olunan </w:t>
      </w:r>
      <w:r w:rsidR="00BA1F07" w:rsidRPr="00BA1F07">
        <w:rPr>
          <w:rFonts w:ascii="Arial" w:hAnsi="Arial" w:cs="Arial"/>
          <w:b/>
          <w:lang w:val="az-Latn-AZ"/>
        </w:rPr>
        <w:t>BGTZ-nın üzən tərsanələrinin və Gəmi tikinti sahəsinin 6 kv-luq kabel xəttinin yenidən</w:t>
      </w:r>
      <w:r w:rsidR="00BA1F07">
        <w:rPr>
          <w:rFonts w:ascii="Arial" w:hAnsi="Arial" w:cs="Arial"/>
          <w:b/>
          <w:lang w:val="az-Latn-AZ"/>
        </w:rPr>
        <w:t xml:space="preserve"> qurulması </w:t>
      </w:r>
      <w:r w:rsidR="007D398F">
        <w:rPr>
          <w:rFonts w:ascii="Arial" w:hAnsi="Arial" w:cs="Arial"/>
          <w:b/>
          <w:sz w:val="24"/>
          <w:szCs w:val="24"/>
          <w:lang w:val="az-Latn-AZ"/>
        </w:rPr>
        <w:t>xidmətlərin</w:t>
      </w:r>
      <w:r w:rsidR="00BA1F07">
        <w:rPr>
          <w:rFonts w:ascii="Arial" w:hAnsi="Arial" w:cs="Arial"/>
          <w:b/>
          <w:sz w:val="24"/>
          <w:szCs w:val="24"/>
          <w:lang w:val="az-Latn-AZ"/>
        </w:rPr>
        <w:t>in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BA1F07">
        <w:rPr>
          <w:rFonts w:ascii="Arial" w:hAnsi="Arial" w:cs="Arial"/>
          <w:b/>
          <w:sz w:val="24"/>
          <w:szCs w:val="24"/>
          <w:lang w:val="az-Latn-AZ" w:eastAsia="ru-RU"/>
        </w:rPr>
        <w:t>AM005/2021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A1F0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A1F07">
              <w:rPr>
                <w:rFonts w:ascii="Arial" w:hAnsi="Arial" w:cs="Arial"/>
                <w:sz w:val="20"/>
                <w:szCs w:val="20"/>
                <w:lang w:val="az-Latn-AZ" w:eastAsia="ru-RU"/>
              </w:rPr>
              <w:t>01</w:t>
            </w:r>
            <w:r w:rsidR="00B05019">
              <w:rPr>
                <w:rFonts w:ascii="Arial" w:hAnsi="Arial" w:cs="Arial"/>
                <w:b/>
                <w:sz w:val="20"/>
                <w:szCs w:val="20"/>
                <w:lang w:val="az-Latn-AZ" w:eastAsia="ru-RU"/>
              </w:rPr>
              <w:t xml:space="preserve"> </w:t>
            </w:r>
            <w:r w:rsidR="00BA1F07">
              <w:rPr>
                <w:rFonts w:ascii="Arial" w:hAnsi="Arial" w:cs="Arial"/>
                <w:b/>
                <w:sz w:val="20"/>
                <w:szCs w:val="20"/>
                <w:lang w:val="az-Latn-AZ" w:eastAsia="ru-RU"/>
              </w:rPr>
              <w:t>fevral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A1F0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1339AB">
              <w:rPr>
                <w:rFonts w:ascii="Arial" w:hAnsi="Arial" w:cs="Arial"/>
                <w:b/>
                <w:sz w:val="20"/>
                <w:szCs w:val="20"/>
                <w:lang w:val="az-Latn-AZ" w:eastAsia="ru-RU"/>
              </w:rPr>
              <w:t>50 (əlli)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A1F0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BA1F0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A1F07">
              <w:rPr>
                <w:rFonts w:ascii="Arial" w:hAnsi="Arial" w:cs="Arial"/>
                <w:b/>
                <w:sz w:val="20"/>
                <w:szCs w:val="20"/>
                <w:lang w:val="az-Latn-AZ" w:eastAsia="ru-RU"/>
              </w:rPr>
              <w:t>05 fevral</w:t>
            </w:r>
            <w:r w:rsidR="00EB36FA" w:rsidRPr="00C243D3">
              <w:rPr>
                <w:rFonts w:ascii="Arial" w:hAnsi="Arial" w:cs="Arial"/>
                <w:b/>
                <w:sz w:val="20"/>
                <w:szCs w:val="20"/>
                <w:lang w:val="az-Latn-AZ" w:eastAsia="ru-RU"/>
              </w:rPr>
              <w:t xml:space="preserve"> </w:t>
            </w:r>
            <w:r w:rsidR="00BA1F07">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A1F0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BA1F0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A1F07">
              <w:rPr>
                <w:rFonts w:ascii="Arial" w:hAnsi="Arial" w:cs="Arial"/>
                <w:b/>
                <w:sz w:val="20"/>
                <w:szCs w:val="20"/>
                <w:lang w:val="az-Latn-AZ" w:eastAsia="ru-RU"/>
              </w:rPr>
              <w:t>08 fevral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BA1F07">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1339AB">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A1F0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7D398F" w:rsidRPr="00BA1F0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7D398F" w:rsidRPr="00E30035" w:rsidRDefault="007D398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398F" w:rsidRDefault="007D398F"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BA1F07" w:rsidRPr="00BA1F07" w:rsidRDefault="00BA1F07" w:rsidP="00BA1F07">
            <w:pPr>
              <w:pStyle w:val="a4"/>
              <w:numPr>
                <w:ilvl w:val="0"/>
                <w:numId w:val="14"/>
              </w:numPr>
              <w:spacing w:after="160" w:line="259" w:lineRule="auto"/>
              <w:rPr>
                <w:rFonts w:ascii="Arial" w:hAnsi="Arial" w:cs="Arial"/>
                <w:b/>
                <w:sz w:val="20"/>
                <w:szCs w:val="20"/>
                <w:lang w:val="az-Latn-AZ"/>
              </w:rPr>
            </w:pPr>
            <w:r w:rsidRPr="00BA1F07">
              <w:rPr>
                <w:rFonts w:ascii="Arial" w:hAnsi="Arial" w:cs="Arial"/>
                <w:b/>
                <w:sz w:val="20"/>
                <w:szCs w:val="20"/>
                <w:lang w:val="az-Latn-AZ"/>
              </w:rPr>
              <w:t xml:space="preserve">Yüksək  gərginlik kabel xətlərinin quraşdırılması,sınaq sazlanması və işəburaxılması  zamanı istismarda olan mövcud kabel trassasına uyğun olaraq çəkilməsinə əməl olunmalıdır. </w:t>
            </w:r>
          </w:p>
          <w:p w:rsidR="00BA1F07" w:rsidRPr="00BA1F07" w:rsidRDefault="00BA1F07" w:rsidP="00BA1F07">
            <w:pPr>
              <w:pStyle w:val="a4"/>
              <w:numPr>
                <w:ilvl w:val="0"/>
                <w:numId w:val="14"/>
              </w:numPr>
              <w:spacing w:after="160" w:line="259" w:lineRule="auto"/>
              <w:rPr>
                <w:rFonts w:ascii="Arial" w:hAnsi="Arial" w:cs="Arial"/>
                <w:b/>
                <w:sz w:val="20"/>
                <w:szCs w:val="20"/>
                <w:lang w:val="az-Latn-AZ"/>
              </w:rPr>
            </w:pPr>
            <w:r w:rsidRPr="00BA1F07">
              <w:rPr>
                <w:rFonts w:ascii="Arial" w:hAnsi="Arial" w:cs="Arial"/>
                <w:b/>
                <w:sz w:val="20"/>
                <w:szCs w:val="20"/>
                <w:lang w:val="az-Latn-AZ"/>
              </w:rPr>
              <w:t xml:space="preserve">Quraşdırılmış  kabellərdə sınaq işləri aparılmalıdır.Yerinə yetirilmiş quraşdırılma və sınaq işlərinin nəticəsi olaraq akt və protikollar tərtib olunmalıdır. </w:t>
            </w:r>
          </w:p>
          <w:p w:rsidR="00BA1F07" w:rsidRPr="00BA1F07" w:rsidRDefault="00BA1F07" w:rsidP="00BA1F07">
            <w:pPr>
              <w:pStyle w:val="a4"/>
              <w:numPr>
                <w:ilvl w:val="0"/>
                <w:numId w:val="14"/>
              </w:numPr>
              <w:spacing w:after="160" w:line="259" w:lineRule="auto"/>
              <w:rPr>
                <w:rFonts w:ascii="Arial" w:hAnsi="Arial" w:cs="Arial"/>
                <w:b/>
                <w:sz w:val="20"/>
                <w:szCs w:val="20"/>
                <w:lang w:val="az-Latn-AZ"/>
              </w:rPr>
            </w:pPr>
            <w:r w:rsidRPr="00BA1F07">
              <w:rPr>
                <w:rFonts w:ascii="Arial" w:hAnsi="Arial" w:cs="Arial"/>
                <w:b/>
                <w:sz w:val="20"/>
                <w:szCs w:val="20"/>
                <w:lang w:val="az-Latn-AZ"/>
              </w:rPr>
              <w:t>Kabel xəttinin istismara buraxılması  Azəryolservis və Azərişıq ASC ilə razılaşdırılmaqla həyata keçirilməlidir.</w:t>
            </w:r>
          </w:p>
          <w:p w:rsidR="00BA1F07" w:rsidRPr="00BA1F07" w:rsidRDefault="00BA1F07" w:rsidP="00BA1F07">
            <w:pPr>
              <w:pStyle w:val="a4"/>
              <w:numPr>
                <w:ilvl w:val="0"/>
                <w:numId w:val="14"/>
              </w:numPr>
              <w:spacing w:after="160" w:line="259" w:lineRule="auto"/>
              <w:rPr>
                <w:rFonts w:ascii="Arial" w:hAnsi="Arial" w:cs="Arial"/>
                <w:b/>
                <w:sz w:val="20"/>
                <w:szCs w:val="20"/>
                <w:lang w:val="az-Latn-AZ"/>
              </w:rPr>
            </w:pPr>
            <w:r w:rsidRPr="00BA1F07">
              <w:rPr>
                <w:rFonts w:ascii="Arial" w:hAnsi="Arial" w:cs="Arial"/>
                <w:b/>
                <w:sz w:val="20"/>
                <w:szCs w:val="20"/>
                <w:lang w:val="az-Latn-AZ"/>
              </w:rPr>
              <w:t>Quraşdırma, təmir,sınaq sazlama və işəburaxma işlərinin təhvili müddəti göstərilməlidir.</w:t>
            </w:r>
          </w:p>
          <w:p w:rsidR="00BA1F07" w:rsidRPr="00BA1F07" w:rsidRDefault="00BA1F07" w:rsidP="00BA1F07">
            <w:pPr>
              <w:pStyle w:val="a4"/>
              <w:numPr>
                <w:ilvl w:val="0"/>
                <w:numId w:val="14"/>
              </w:numPr>
              <w:spacing w:after="160" w:line="259" w:lineRule="auto"/>
              <w:rPr>
                <w:rFonts w:ascii="Arial" w:hAnsi="Arial" w:cs="Arial"/>
                <w:b/>
                <w:sz w:val="20"/>
                <w:szCs w:val="20"/>
                <w:lang w:val="az-Latn-AZ"/>
              </w:rPr>
            </w:pPr>
            <w:r w:rsidRPr="00BA1F07">
              <w:rPr>
                <w:rFonts w:ascii="Arial" w:hAnsi="Arial" w:cs="Arial"/>
                <w:b/>
                <w:sz w:val="20"/>
                <w:szCs w:val="20"/>
                <w:lang w:val="az-Latn-AZ"/>
              </w:rPr>
              <w:t>Adı çəkilən işlərin yerinə yetirilməsi üçün xüsusi lisenziya təqdim edilməlidir.</w:t>
            </w:r>
          </w:p>
          <w:p w:rsidR="00BA1F07" w:rsidRPr="00BA1F07" w:rsidRDefault="00BA1F07" w:rsidP="00BA1F07">
            <w:pPr>
              <w:pStyle w:val="a4"/>
              <w:numPr>
                <w:ilvl w:val="0"/>
                <w:numId w:val="14"/>
              </w:numPr>
              <w:spacing w:after="160" w:line="259" w:lineRule="auto"/>
              <w:rPr>
                <w:rFonts w:ascii="Arial" w:hAnsi="Arial" w:cs="Arial"/>
                <w:b/>
                <w:sz w:val="20"/>
                <w:szCs w:val="20"/>
                <w:lang w:val="az-Latn-AZ"/>
              </w:rPr>
            </w:pPr>
            <w:r w:rsidRPr="00BA1F07">
              <w:rPr>
                <w:rFonts w:ascii="Arial" w:hAnsi="Arial" w:cs="Arial"/>
                <w:b/>
                <w:sz w:val="20"/>
                <w:szCs w:val="20"/>
                <w:lang w:val="az-Latn-AZ"/>
              </w:rPr>
              <w:t>İşlərin yerinə yetirilməsi üçün müəssisənin sınaq və təmir sahələri, texniki imkanları və işçi personalların müvafiq icazələri və təcrübələri təqdim edilməlidir.</w:t>
            </w:r>
            <w:bookmarkStart w:id="0" w:name="_GoBack"/>
            <w:bookmarkEnd w:id="0"/>
          </w:p>
          <w:p w:rsidR="007D398F" w:rsidRPr="00BA1F07" w:rsidRDefault="00BA1F07" w:rsidP="00BA1F07">
            <w:pPr>
              <w:pStyle w:val="a4"/>
              <w:numPr>
                <w:ilvl w:val="0"/>
                <w:numId w:val="14"/>
              </w:numPr>
              <w:spacing w:after="160" w:line="259" w:lineRule="auto"/>
              <w:rPr>
                <w:lang w:val="az-Latn-AZ"/>
              </w:rPr>
            </w:pPr>
            <w:r w:rsidRPr="00BA1F07">
              <w:rPr>
                <w:rFonts w:ascii="Arial" w:hAnsi="Arial" w:cs="Arial"/>
                <w:b/>
                <w:sz w:val="20"/>
                <w:szCs w:val="20"/>
                <w:lang w:val="az-Latn-AZ"/>
              </w:rPr>
              <w:t>İşlər yerinə yetirilən zaman təhlükəsizlik qaydalarını “AXDG” QSC-nin tələbləri və tikinti norma qaydalarına uyğun yerinə yetirilməsi nəzərdə tutulmalıdır.</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lastRenderedPageBreak/>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7D398F">
        <w:rPr>
          <w:rFonts w:ascii="Arial" w:hAnsi="Arial" w:cs="Arial"/>
          <w:b/>
          <w:sz w:val="24"/>
          <w:szCs w:val="24"/>
          <w:lang w:val="az-Latn-AZ"/>
        </w:rPr>
        <w:t>İŞLƏRİN</w:t>
      </w:r>
      <w:r w:rsidRPr="00923D30">
        <w:rPr>
          <w:rFonts w:ascii="Arial" w:hAnsi="Arial" w:cs="Arial"/>
          <w:b/>
          <w:sz w:val="24"/>
          <w:szCs w:val="24"/>
          <w:lang w:val="az-Latn-AZ"/>
        </w:rPr>
        <w:t xml:space="preserve"> SİYAHISI:</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3"/>
        <w:gridCol w:w="7154"/>
        <w:gridCol w:w="1134"/>
        <w:gridCol w:w="1134"/>
      </w:tblGrid>
      <w:tr w:rsidR="00BA1F07" w:rsidRPr="0061442C" w:rsidTr="00E1429D">
        <w:trPr>
          <w:trHeight w:val="697"/>
        </w:trPr>
        <w:tc>
          <w:tcPr>
            <w:tcW w:w="643" w:type="dxa"/>
            <w:vAlign w:val="center"/>
            <w:hideMark/>
          </w:tcPr>
          <w:p w:rsidR="00BA1F07" w:rsidRPr="0061442C" w:rsidRDefault="00BA1F07" w:rsidP="00E1429D">
            <w:pPr>
              <w:spacing w:line="20" w:lineRule="atLeast"/>
              <w:ind w:left="-57" w:right="-57"/>
              <w:jc w:val="center"/>
              <w:rPr>
                <w:rFonts w:ascii="Arial" w:hAnsi="Arial" w:cs="Arial"/>
                <w:sz w:val="24"/>
                <w:szCs w:val="24"/>
                <w:lang w:val="az-Latn-AZ"/>
              </w:rPr>
            </w:pPr>
            <w:r w:rsidRPr="0061442C">
              <w:rPr>
                <w:rFonts w:ascii="Arial" w:hAnsi="Arial" w:cs="Arial"/>
                <w:sz w:val="24"/>
                <w:szCs w:val="24"/>
                <w:lang w:val="az-Latn-AZ"/>
              </w:rPr>
              <w:t>Sıra sayı</w:t>
            </w:r>
          </w:p>
        </w:tc>
        <w:tc>
          <w:tcPr>
            <w:tcW w:w="7154" w:type="dxa"/>
            <w:vAlign w:val="center"/>
            <w:hideMark/>
          </w:tcPr>
          <w:p w:rsidR="00BA1F07" w:rsidRPr="0061442C" w:rsidRDefault="00BA1F07" w:rsidP="00E1429D">
            <w:pPr>
              <w:spacing w:line="20" w:lineRule="atLeast"/>
              <w:jc w:val="center"/>
              <w:rPr>
                <w:rFonts w:ascii="Arial" w:hAnsi="Arial" w:cs="Arial"/>
                <w:sz w:val="24"/>
                <w:szCs w:val="24"/>
                <w:lang w:val="az-Latn-AZ"/>
              </w:rPr>
            </w:pPr>
            <w:r w:rsidRPr="0061442C">
              <w:rPr>
                <w:rFonts w:ascii="Arial" w:hAnsi="Arial" w:cs="Arial"/>
                <w:sz w:val="24"/>
                <w:szCs w:val="24"/>
                <w:lang w:val="az-Latn-AZ"/>
              </w:rPr>
              <w:t>İşlərin adı</w:t>
            </w:r>
          </w:p>
        </w:tc>
        <w:tc>
          <w:tcPr>
            <w:tcW w:w="1134" w:type="dxa"/>
            <w:vAlign w:val="center"/>
            <w:hideMark/>
          </w:tcPr>
          <w:p w:rsidR="00BA1F07" w:rsidRPr="0061442C" w:rsidRDefault="00BA1F07" w:rsidP="00E1429D">
            <w:pPr>
              <w:spacing w:line="20" w:lineRule="atLeast"/>
              <w:ind w:left="-57" w:right="-57"/>
              <w:jc w:val="center"/>
              <w:rPr>
                <w:rFonts w:ascii="Arial" w:hAnsi="Arial" w:cs="Arial"/>
                <w:sz w:val="24"/>
                <w:szCs w:val="24"/>
                <w:lang w:val="az-Latn-AZ"/>
              </w:rPr>
            </w:pPr>
            <w:r w:rsidRPr="0061442C">
              <w:rPr>
                <w:rFonts w:ascii="Arial" w:hAnsi="Arial" w:cs="Arial"/>
                <w:sz w:val="24"/>
                <w:szCs w:val="24"/>
                <w:lang w:val="az-Latn-AZ"/>
              </w:rPr>
              <w:t>Ölçü vahidi</w:t>
            </w:r>
          </w:p>
        </w:tc>
        <w:tc>
          <w:tcPr>
            <w:tcW w:w="1134" w:type="dxa"/>
            <w:vAlign w:val="center"/>
            <w:hideMark/>
          </w:tcPr>
          <w:p w:rsidR="00BA1F07" w:rsidRPr="0061442C" w:rsidRDefault="00BA1F07" w:rsidP="00E1429D">
            <w:pPr>
              <w:spacing w:line="20" w:lineRule="atLeast"/>
              <w:ind w:left="-113" w:right="-113"/>
              <w:jc w:val="center"/>
              <w:rPr>
                <w:rFonts w:ascii="Arial" w:hAnsi="Arial" w:cs="Arial"/>
                <w:sz w:val="24"/>
                <w:szCs w:val="24"/>
                <w:lang w:val="az-Latn-AZ"/>
              </w:rPr>
            </w:pPr>
            <w:r w:rsidRPr="0061442C">
              <w:rPr>
                <w:rFonts w:ascii="Arial" w:hAnsi="Arial" w:cs="Arial"/>
                <w:sz w:val="24"/>
                <w:szCs w:val="24"/>
                <w:lang w:val="az-Latn-AZ"/>
              </w:rPr>
              <w:t>Miqdarı</w:t>
            </w:r>
          </w:p>
        </w:tc>
      </w:tr>
      <w:tr w:rsidR="00BA1F07" w:rsidRPr="0061442C" w:rsidTr="00E1429D">
        <w:trPr>
          <w:trHeight w:val="50"/>
        </w:trPr>
        <w:tc>
          <w:tcPr>
            <w:tcW w:w="643" w:type="dxa"/>
            <w:vAlign w:val="center"/>
          </w:tcPr>
          <w:p w:rsidR="00BA1F07" w:rsidRPr="0061442C" w:rsidRDefault="00BA1F07" w:rsidP="00BA1F07">
            <w:pPr>
              <w:numPr>
                <w:ilvl w:val="0"/>
                <w:numId w:val="13"/>
              </w:numPr>
              <w:spacing w:after="0" w:line="20" w:lineRule="atLeast"/>
              <w:contextualSpacing/>
              <w:jc w:val="center"/>
              <w:rPr>
                <w:rFonts w:ascii="Arial" w:hAnsi="Arial" w:cs="Arial"/>
                <w:sz w:val="24"/>
                <w:szCs w:val="24"/>
                <w:lang w:val="az-Latn-AZ"/>
              </w:rPr>
            </w:pPr>
          </w:p>
        </w:tc>
        <w:tc>
          <w:tcPr>
            <w:tcW w:w="7154" w:type="dxa"/>
            <w:shd w:val="clear" w:color="auto" w:fill="auto"/>
            <w:vAlign w:val="center"/>
          </w:tcPr>
          <w:p w:rsidR="00BA1F07" w:rsidRPr="0061442C" w:rsidRDefault="00BA1F07" w:rsidP="00E1429D">
            <w:pPr>
              <w:rPr>
                <w:rFonts w:ascii="Arial" w:hAnsi="Arial" w:cs="Arial"/>
                <w:color w:val="000000"/>
                <w:sz w:val="24"/>
                <w:szCs w:val="24"/>
                <w:lang w:val="az-Latn-AZ"/>
              </w:rPr>
            </w:pPr>
            <w:r w:rsidRPr="0061442C">
              <w:rPr>
                <w:rFonts w:ascii="Arial" w:hAnsi="Arial" w:cs="Arial"/>
                <w:color w:val="000000"/>
                <w:sz w:val="24"/>
                <w:szCs w:val="24"/>
                <w:lang w:val="az-Latn-AZ"/>
              </w:rPr>
              <w:t>Xəndəyin əl ilə qazılması və mexanizmlə əks doldurulması     (700 x 1000 mm)</w:t>
            </w:r>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rPr>
            </w:pPr>
            <w:proofErr w:type="spellStart"/>
            <w:r w:rsidRPr="0061442C">
              <w:rPr>
                <w:rFonts w:ascii="Arial" w:hAnsi="Arial" w:cs="Arial"/>
                <w:color w:val="000000"/>
                <w:sz w:val="24"/>
                <w:szCs w:val="24"/>
              </w:rPr>
              <w:t>metr</w:t>
            </w:r>
            <w:proofErr w:type="spellEnd"/>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rPr>
            </w:pPr>
            <w:r w:rsidRPr="0061442C">
              <w:rPr>
                <w:rFonts w:ascii="Arial" w:hAnsi="Arial" w:cs="Arial"/>
                <w:color w:val="000000"/>
                <w:sz w:val="24"/>
                <w:szCs w:val="24"/>
              </w:rPr>
              <w:t>1100</w:t>
            </w:r>
          </w:p>
        </w:tc>
      </w:tr>
      <w:tr w:rsidR="00BA1F07" w:rsidRPr="0061442C" w:rsidTr="00E1429D">
        <w:trPr>
          <w:trHeight w:val="50"/>
        </w:trPr>
        <w:tc>
          <w:tcPr>
            <w:tcW w:w="643" w:type="dxa"/>
            <w:vAlign w:val="center"/>
          </w:tcPr>
          <w:p w:rsidR="00BA1F07" w:rsidRPr="0061442C" w:rsidRDefault="00BA1F07" w:rsidP="00BA1F07">
            <w:pPr>
              <w:numPr>
                <w:ilvl w:val="0"/>
                <w:numId w:val="13"/>
              </w:numPr>
              <w:spacing w:after="0" w:line="20" w:lineRule="atLeast"/>
              <w:contextualSpacing/>
              <w:jc w:val="center"/>
              <w:rPr>
                <w:rFonts w:ascii="Arial" w:hAnsi="Arial" w:cs="Arial"/>
                <w:sz w:val="24"/>
                <w:szCs w:val="24"/>
                <w:lang w:val="az-Latn-AZ"/>
              </w:rPr>
            </w:pPr>
          </w:p>
        </w:tc>
        <w:tc>
          <w:tcPr>
            <w:tcW w:w="7154" w:type="dxa"/>
            <w:shd w:val="clear" w:color="auto" w:fill="auto"/>
            <w:vAlign w:val="center"/>
          </w:tcPr>
          <w:p w:rsidR="00BA1F07" w:rsidRPr="0061442C" w:rsidRDefault="00BA1F07" w:rsidP="00E1429D">
            <w:pPr>
              <w:rPr>
                <w:rFonts w:ascii="Arial" w:hAnsi="Arial" w:cs="Arial"/>
                <w:color w:val="000000"/>
                <w:sz w:val="24"/>
                <w:szCs w:val="24"/>
                <w:lang w:val="az-Latn-AZ"/>
              </w:rPr>
            </w:pPr>
            <w:r w:rsidRPr="0061442C">
              <w:rPr>
                <w:rFonts w:ascii="Arial" w:hAnsi="Arial" w:cs="Arial"/>
                <w:color w:val="000000"/>
                <w:sz w:val="24"/>
                <w:szCs w:val="24"/>
                <w:lang w:val="az-Latn-AZ"/>
              </w:rPr>
              <w:t>Qum qatının verilməsi (materialla birlikdə)</w:t>
            </w:r>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rPr>
            </w:pPr>
            <w:r w:rsidRPr="0061442C">
              <w:rPr>
                <w:rFonts w:ascii="Arial" w:hAnsi="Arial" w:cs="Arial"/>
                <w:color w:val="000000"/>
                <w:sz w:val="24"/>
                <w:szCs w:val="24"/>
              </w:rPr>
              <w:t>m3</w:t>
            </w:r>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rPr>
            </w:pPr>
            <w:r w:rsidRPr="0061442C">
              <w:rPr>
                <w:rFonts w:ascii="Arial" w:hAnsi="Arial" w:cs="Arial"/>
                <w:color w:val="000000"/>
                <w:sz w:val="24"/>
                <w:szCs w:val="24"/>
              </w:rPr>
              <w:t>100</w:t>
            </w:r>
          </w:p>
        </w:tc>
      </w:tr>
      <w:tr w:rsidR="00BA1F07" w:rsidRPr="0061442C" w:rsidTr="00E1429D">
        <w:trPr>
          <w:trHeight w:val="50"/>
        </w:trPr>
        <w:tc>
          <w:tcPr>
            <w:tcW w:w="643" w:type="dxa"/>
            <w:vAlign w:val="center"/>
          </w:tcPr>
          <w:p w:rsidR="00BA1F07" w:rsidRPr="0061442C" w:rsidRDefault="00BA1F07" w:rsidP="00BA1F07">
            <w:pPr>
              <w:numPr>
                <w:ilvl w:val="0"/>
                <w:numId w:val="13"/>
              </w:numPr>
              <w:spacing w:after="0" w:line="20" w:lineRule="atLeast"/>
              <w:contextualSpacing/>
              <w:jc w:val="center"/>
              <w:rPr>
                <w:rFonts w:ascii="Arial" w:hAnsi="Arial" w:cs="Arial"/>
                <w:sz w:val="24"/>
                <w:szCs w:val="24"/>
                <w:lang w:val="az-Latn-AZ"/>
              </w:rPr>
            </w:pPr>
          </w:p>
        </w:tc>
        <w:tc>
          <w:tcPr>
            <w:tcW w:w="7154" w:type="dxa"/>
            <w:shd w:val="clear" w:color="auto" w:fill="auto"/>
            <w:vAlign w:val="center"/>
          </w:tcPr>
          <w:p w:rsidR="00BA1F07" w:rsidRPr="0061442C" w:rsidRDefault="00BA1F07" w:rsidP="00E1429D">
            <w:pPr>
              <w:rPr>
                <w:rFonts w:ascii="Arial" w:hAnsi="Arial" w:cs="Arial"/>
                <w:color w:val="000000"/>
                <w:sz w:val="24"/>
                <w:szCs w:val="24"/>
                <w:lang w:val="az-Latn-AZ"/>
              </w:rPr>
            </w:pPr>
            <w:r w:rsidRPr="0061442C">
              <w:rPr>
                <w:rFonts w:ascii="Arial" w:hAnsi="Arial" w:cs="Arial"/>
                <w:color w:val="000000"/>
                <w:sz w:val="24"/>
                <w:szCs w:val="24"/>
                <w:lang w:val="az-Latn-AZ"/>
              </w:rPr>
              <w:t>Artıq qruntun avtomaşınla daşınması</w:t>
            </w:r>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rPr>
            </w:pPr>
            <w:r w:rsidRPr="0061442C">
              <w:rPr>
                <w:rFonts w:ascii="Arial" w:hAnsi="Arial" w:cs="Arial"/>
                <w:color w:val="000000"/>
                <w:sz w:val="24"/>
                <w:szCs w:val="24"/>
              </w:rPr>
              <w:t>m3</w:t>
            </w:r>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rPr>
            </w:pPr>
            <w:r w:rsidRPr="0061442C">
              <w:rPr>
                <w:rFonts w:ascii="Arial" w:hAnsi="Arial" w:cs="Arial"/>
                <w:color w:val="000000"/>
                <w:sz w:val="24"/>
                <w:szCs w:val="24"/>
              </w:rPr>
              <w:t>50</w:t>
            </w:r>
          </w:p>
        </w:tc>
      </w:tr>
      <w:tr w:rsidR="00BA1F07" w:rsidRPr="0061442C" w:rsidTr="00E1429D">
        <w:trPr>
          <w:trHeight w:val="942"/>
        </w:trPr>
        <w:tc>
          <w:tcPr>
            <w:tcW w:w="643" w:type="dxa"/>
            <w:vAlign w:val="center"/>
          </w:tcPr>
          <w:p w:rsidR="00BA1F07" w:rsidRPr="0061442C" w:rsidRDefault="00BA1F07" w:rsidP="00BA1F07">
            <w:pPr>
              <w:numPr>
                <w:ilvl w:val="0"/>
                <w:numId w:val="13"/>
              </w:numPr>
              <w:spacing w:after="0" w:line="20" w:lineRule="atLeast"/>
              <w:contextualSpacing/>
              <w:jc w:val="center"/>
              <w:rPr>
                <w:rFonts w:ascii="Arial" w:hAnsi="Arial" w:cs="Arial"/>
                <w:sz w:val="24"/>
                <w:szCs w:val="24"/>
                <w:lang w:val="az-Latn-AZ"/>
              </w:rPr>
            </w:pPr>
          </w:p>
        </w:tc>
        <w:tc>
          <w:tcPr>
            <w:tcW w:w="7154" w:type="dxa"/>
            <w:shd w:val="clear" w:color="auto" w:fill="auto"/>
            <w:vAlign w:val="center"/>
          </w:tcPr>
          <w:p w:rsidR="00BA1F07" w:rsidRPr="0061442C" w:rsidRDefault="00BA1F07" w:rsidP="00E1429D">
            <w:pPr>
              <w:rPr>
                <w:rFonts w:ascii="Arial" w:hAnsi="Arial" w:cs="Arial"/>
                <w:color w:val="000000"/>
                <w:sz w:val="24"/>
                <w:szCs w:val="24"/>
                <w:lang w:val="az-Latn-AZ"/>
              </w:rPr>
            </w:pPr>
            <w:r w:rsidRPr="0061442C">
              <w:rPr>
                <w:rFonts w:ascii="Arial" w:hAnsi="Arial" w:cs="Arial"/>
                <w:color w:val="000000"/>
                <w:sz w:val="24"/>
                <w:szCs w:val="24"/>
                <w:lang w:val="az-Latn-AZ"/>
              </w:rPr>
              <w:t>10 kV-luq  NA2XSY 6/10 kV, 1x185 mm2  və 1x240 mm2 markalı yüksək gərginlikli güc kabellərinin quraşdırılması (material sifarişçi tərəfindən təmin olunur)</w:t>
            </w:r>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rPr>
            </w:pPr>
            <w:proofErr w:type="spellStart"/>
            <w:r w:rsidRPr="0061442C">
              <w:rPr>
                <w:rFonts w:ascii="Arial" w:hAnsi="Arial" w:cs="Arial"/>
                <w:color w:val="000000"/>
                <w:sz w:val="24"/>
                <w:szCs w:val="24"/>
              </w:rPr>
              <w:t>metr</w:t>
            </w:r>
            <w:proofErr w:type="spellEnd"/>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rPr>
            </w:pPr>
            <w:r w:rsidRPr="0061442C">
              <w:rPr>
                <w:rFonts w:ascii="Arial" w:hAnsi="Arial" w:cs="Arial"/>
                <w:color w:val="000000"/>
                <w:sz w:val="24"/>
                <w:szCs w:val="24"/>
              </w:rPr>
              <w:t>6900</w:t>
            </w:r>
          </w:p>
        </w:tc>
      </w:tr>
      <w:tr w:rsidR="00BA1F07" w:rsidRPr="0061442C" w:rsidTr="00E1429D">
        <w:trPr>
          <w:trHeight w:val="50"/>
        </w:trPr>
        <w:tc>
          <w:tcPr>
            <w:tcW w:w="643" w:type="dxa"/>
            <w:vAlign w:val="center"/>
          </w:tcPr>
          <w:p w:rsidR="00BA1F07" w:rsidRPr="0061442C" w:rsidRDefault="00BA1F07" w:rsidP="00BA1F07">
            <w:pPr>
              <w:numPr>
                <w:ilvl w:val="0"/>
                <w:numId w:val="13"/>
              </w:numPr>
              <w:spacing w:after="0" w:line="20" w:lineRule="atLeast"/>
              <w:contextualSpacing/>
              <w:jc w:val="center"/>
              <w:rPr>
                <w:rFonts w:ascii="Arial" w:hAnsi="Arial" w:cs="Arial"/>
                <w:sz w:val="24"/>
                <w:szCs w:val="24"/>
                <w:lang w:val="az-Latn-AZ"/>
              </w:rPr>
            </w:pPr>
          </w:p>
        </w:tc>
        <w:tc>
          <w:tcPr>
            <w:tcW w:w="7154" w:type="dxa"/>
            <w:shd w:val="clear" w:color="auto" w:fill="auto"/>
            <w:vAlign w:val="center"/>
          </w:tcPr>
          <w:p w:rsidR="00BA1F07" w:rsidRPr="0061442C" w:rsidRDefault="00BA1F07" w:rsidP="00E1429D">
            <w:pPr>
              <w:rPr>
                <w:rFonts w:ascii="Arial" w:hAnsi="Arial" w:cs="Arial"/>
                <w:color w:val="000000"/>
                <w:sz w:val="24"/>
                <w:szCs w:val="24"/>
                <w:lang w:val="az-Latn-AZ"/>
              </w:rPr>
            </w:pPr>
            <w:r w:rsidRPr="0061442C">
              <w:rPr>
                <w:rFonts w:ascii="Arial" w:hAnsi="Arial" w:cs="Arial"/>
                <w:color w:val="000000"/>
                <w:sz w:val="24"/>
                <w:szCs w:val="24"/>
                <w:lang w:val="az-Latn-AZ"/>
              </w:rPr>
              <w:t>185 və 240 mm2 aliminium ucluqların quraşdırılması (materialla birlikdə)</w:t>
            </w:r>
          </w:p>
        </w:tc>
        <w:tc>
          <w:tcPr>
            <w:tcW w:w="1134" w:type="dxa"/>
            <w:shd w:val="clear" w:color="auto" w:fill="auto"/>
            <w:vAlign w:val="center"/>
          </w:tcPr>
          <w:p w:rsidR="00BA1F07" w:rsidRPr="0061442C" w:rsidRDefault="00BA1F07" w:rsidP="00E1429D">
            <w:pPr>
              <w:jc w:val="center"/>
              <w:rPr>
                <w:rFonts w:ascii="Arial" w:hAnsi="Arial" w:cs="Arial"/>
                <w:sz w:val="24"/>
                <w:szCs w:val="24"/>
              </w:rPr>
            </w:pPr>
            <w:proofErr w:type="spellStart"/>
            <w:r w:rsidRPr="0061442C">
              <w:rPr>
                <w:rFonts w:ascii="Arial" w:hAnsi="Arial" w:cs="Arial"/>
                <w:sz w:val="24"/>
                <w:szCs w:val="24"/>
              </w:rPr>
              <w:t>ədəd</w:t>
            </w:r>
            <w:proofErr w:type="spellEnd"/>
          </w:p>
        </w:tc>
        <w:tc>
          <w:tcPr>
            <w:tcW w:w="1134" w:type="dxa"/>
            <w:shd w:val="clear" w:color="auto" w:fill="auto"/>
            <w:vAlign w:val="center"/>
          </w:tcPr>
          <w:p w:rsidR="00BA1F07" w:rsidRPr="0061442C" w:rsidRDefault="00BA1F07" w:rsidP="00E1429D">
            <w:pPr>
              <w:jc w:val="center"/>
              <w:rPr>
                <w:rFonts w:ascii="Arial" w:hAnsi="Arial" w:cs="Arial"/>
                <w:sz w:val="24"/>
                <w:szCs w:val="24"/>
              </w:rPr>
            </w:pPr>
            <w:r w:rsidRPr="0061442C">
              <w:rPr>
                <w:rFonts w:ascii="Arial" w:hAnsi="Arial" w:cs="Arial"/>
                <w:sz w:val="24"/>
                <w:szCs w:val="24"/>
              </w:rPr>
              <w:t>12</w:t>
            </w:r>
          </w:p>
        </w:tc>
      </w:tr>
      <w:tr w:rsidR="00BA1F07" w:rsidRPr="0061442C" w:rsidTr="00E1429D">
        <w:trPr>
          <w:trHeight w:val="50"/>
        </w:trPr>
        <w:tc>
          <w:tcPr>
            <w:tcW w:w="643" w:type="dxa"/>
            <w:vAlign w:val="center"/>
          </w:tcPr>
          <w:p w:rsidR="00BA1F07" w:rsidRPr="0061442C" w:rsidRDefault="00BA1F07" w:rsidP="00BA1F07">
            <w:pPr>
              <w:numPr>
                <w:ilvl w:val="0"/>
                <w:numId w:val="13"/>
              </w:numPr>
              <w:spacing w:after="0" w:line="20" w:lineRule="atLeast"/>
              <w:contextualSpacing/>
              <w:jc w:val="center"/>
              <w:rPr>
                <w:rFonts w:ascii="Arial" w:hAnsi="Arial" w:cs="Arial"/>
                <w:sz w:val="24"/>
                <w:szCs w:val="24"/>
                <w:lang w:val="az-Latn-AZ"/>
              </w:rPr>
            </w:pPr>
          </w:p>
        </w:tc>
        <w:tc>
          <w:tcPr>
            <w:tcW w:w="7154" w:type="dxa"/>
            <w:shd w:val="clear" w:color="auto" w:fill="auto"/>
            <w:vAlign w:val="center"/>
          </w:tcPr>
          <w:p w:rsidR="00BA1F07" w:rsidRPr="0061442C" w:rsidRDefault="00BA1F07" w:rsidP="00E1429D">
            <w:pPr>
              <w:rPr>
                <w:rFonts w:ascii="Arial" w:hAnsi="Arial" w:cs="Arial"/>
                <w:color w:val="000000"/>
                <w:sz w:val="24"/>
                <w:szCs w:val="24"/>
                <w:lang w:val="az-Latn-AZ"/>
              </w:rPr>
            </w:pPr>
            <w:r w:rsidRPr="0061442C">
              <w:rPr>
                <w:rFonts w:ascii="Arial" w:hAnsi="Arial" w:cs="Arial"/>
                <w:color w:val="000000"/>
                <w:sz w:val="24"/>
                <w:szCs w:val="24"/>
                <w:lang w:val="az-Latn-AZ"/>
              </w:rPr>
              <w:t xml:space="preserve">1 damarlı 6 kV, Raychem POLJ -12/1x120-240 mm2 birləşdirici muftaların quraşdırılması (materialla birlikdə) </w:t>
            </w:r>
          </w:p>
        </w:tc>
        <w:tc>
          <w:tcPr>
            <w:tcW w:w="1134" w:type="dxa"/>
            <w:shd w:val="clear" w:color="auto" w:fill="auto"/>
            <w:vAlign w:val="center"/>
          </w:tcPr>
          <w:p w:rsidR="00BA1F07" w:rsidRPr="0061442C" w:rsidRDefault="00BA1F07" w:rsidP="00E1429D">
            <w:pPr>
              <w:jc w:val="center"/>
              <w:rPr>
                <w:rFonts w:ascii="Arial" w:hAnsi="Arial" w:cs="Arial"/>
                <w:sz w:val="24"/>
                <w:szCs w:val="24"/>
              </w:rPr>
            </w:pPr>
            <w:proofErr w:type="spellStart"/>
            <w:r w:rsidRPr="0061442C">
              <w:rPr>
                <w:rFonts w:ascii="Arial" w:hAnsi="Arial" w:cs="Arial"/>
                <w:sz w:val="24"/>
                <w:szCs w:val="24"/>
              </w:rPr>
              <w:t>ədəd</w:t>
            </w:r>
            <w:proofErr w:type="spellEnd"/>
          </w:p>
        </w:tc>
        <w:tc>
          <w:tcPr>
            <w:tcW w:w="1134" w:type="dxa"/>
            <w:shd w:val="clear" w:color="auto" w:fill="auto"/>
            <w:vAlign w:val="center"/>
          </w:tcPr>
          <w:p w:rsidR="00BA1F07" w:rsidRPr="0061442C" w:rsidRDefault="00BA1F07" w:rsidP="00E1429D">
            <w:pPr>
              <w:jc w:val="center"/>
              <w:rPr>
                <w:rFonts w:ascii="Arial" w:hAnsi="Arial" w:cs="Arial"/>
                <w:sz w:val="24"/>
                <w:szCs w:val="24"/>
              </w:rPr>
            </w:pPr>
            <w:r w:rsidRPr="0061442C">
              <w:rPr>
                <w:rFonts w:ascii="Arial" w:hAnsi="Arial" w:cs="Arial"/>
                <w:sz w:val="24"/>
                <w:szCs w:val="24"/>
              </w:rPr>
              <w:t>12</w:t>
            </w:r>
          </w:p>
        </w:tc>
      </w:tr>
      <w:tr w:rsidR="00BA1F07" w:rsidRPr="0061442C" w:rsidTr="00E1429D">
        <w:trPr>
          <w:trHeight w:val="50"/>
        </w:trPr>
        <w:tc>
          <w:tcPr>
            <w:tcW w:w="643" w:type="dxa"/>
            <w:vAlign w:val="center"/>
          </w:tcPr>
          <w:p w:rsidR="00BA1F07" w:rsidRPr="0061442C" w:rsidRDefault="00BA1F07" w:rsidP="00BA1F07">
            <w:pPr>
              <w:numPr>
                <w:ilvl w:val="0"/>
                <w:numId w:val="13"/>
              </w:numPr>
              <w:spacing w:after="0" w:line="20" w:lineRule="atLeast"/>
              <w:contextualSpacing/>
              <w:jc w:val="center"/>
              <w:rPr>
                <w:rFonts w:ascii="Arial" w:hAnsi="Arial" w:cs="Arial"/>
                <w:sz w:val="24"/>
                <w:szCs w:val="24"/>
                <w:lang w:val="az-Latn-AZ"/>
              </w:rPr>
            </w:pPr>
          </w:p>
        </w:tc>
        <w:tc>
          <w:tcPr>
            <w:tcW w:w="7154" w:type="dxa"/>
            <w:shd w:val="clear" w:color="auto" w:fill="auto"/>
            <w:vAlign w:val="center"/>
          </w:tcPr>
          <w:p w:rsidR="00BA1F07" w:rsidRPr="0061442C" w:rsidRDefault="00BA1F07" w:rsidP="00E1429D">
            <w:pPr>
              <w:rPr>
                <w:rFonts w:ascii="Arial" w:hAnsi="Arial" w:cs="Arial"/>
                <w:color w:val="000000"/>
                <w:sz w:val="24"/>
                <w:szCs w:val="24"/>
                <w:lang w:val="az-Latn-AZ"/>
              </w:rPr>
            </w:pPr>
            <w:r w:rsidRPr="0061442C">
              <w:rPr>
                <w:rFonts w:ascii="Arial" w:hAnsi="Arial" w:cs="Arial"/>
                <w:color w:val="000000"/>
                <w:sz w:val="24"/>
                <w:szCs w:val="24"/>
                <w:lang w:val="az-Latn-AZ"/>
              </w:rPr>
              <w:t>1 damarlı 6 kV, Raychem POLT 1 xo 95-240 mm2 başlıq muftaların quraşdırılması (materialla birlikdə)</w:t>
            </w:r>
          </w:p>
        </w:tc>
        <w:tc>
          <w:tcPr>
            <w:tcW w:w="1134" w:type="dxa"/>
            <w:shd w:val="clear" w:color="auto" w:fill="auto"/>
            <w:vAlign w:val="center"/>
          </w:tcPr>
          <w:p w:rsidR="00BA1F07" w:rsidRPr="0061442C" w:rsidRDefault="00BA1F07" w:rsidP="00E1429D">
            <w:pPr>
              <w:jc w:val="center"/>
              <w:rPr>
                <w:rFonts w:ascii="Arial" w:hAnsi="Arial" w:cs="Arial"/>
                <w:sz w:val="24"/>
                <w:szCs w:val="24"/>
              </w:rPr>
            </w:pPr>
            <w:proofErr w:type="spellStart"/>
            <w:r w:rsidRPr="0061442C">
              <w:rPr>
                <w:rFonts w:ascii="Arial" w:hAnsi="Arial" w:cs="Arial"/>
                <w:sz w:val="24"/>
                <w:szCs w:val="24"/>
              </w:rPr>
              <w:t>dəst</w:t>
            </w:r>
            <w:proofErr w:type="spellEnd"/>
          </w:p>
        </w:tc>
        <w:tc>
          <w:tcPr>
            <w:tcW w:w="1134" w:type="dxa"/>
            <w:shd w:val="clear" w:color="auto" w:fill="auto"/>
            <w:vAlign w:val="center"/>
          </w:tcPr>
          <w:p w:rsidR="00BA1F07" w:rsidRPr="0061442C" w:rsidRDefault="00BA1F07" w:rsidP="00E1429D">
            <w:pPr>
              <w:jc w:val="center"/>
              <w:rPr>
                <w:rFonts w:ascii="Arial" w:hAnsi="Arial" w:cs="Arial"/>
                <w:sz w:val="24"/>
                <w:szCs w:val="24"/>
              </w:rPr>
            </w:pPr>
            <w:r w:rsidRPr="0061442C">
              <w:rPr>
                <w:rFonts w:ascii="Arial" w:hAnsi="Arial" w:cs="Arial"/>
                <w:sz w:val="24"/>
                <w:szCs w:val="24"/>
              </w:rPr>
              <w:t>2</w:t>
            </w:r>
          </w:p>
        </w:tc>
      </w:tr>
      <w:tr w:rsidR="00BA1F07" w:rsidRPr="0061442C" w:rsidTr="00E1429D">
        <w:trPr>
          <w:trHeight w:val="50"/>
        </w:trPr>
        <w:tc>
          <w:tcPr>
            <w:tcW w:w="643" w:type="dxa"/>
            <w:vAlign w:val="center"/>
          </w:tcPr>
          <w:p w:rsidR="00BA1F07" w:rsidRPr="0061442C" w:rsidRDefault="00BA1F07" w:rsidP="00BA1F07">
            <w:pPr>
              <w:numPr>
                <w:ilvl w:val="0"/>
                <w:numId w:val="13"/>
              </w:numPr>
              <w:spacing w:after="0" w:line="20" w:lineRule="atLeast"/>
              <w:contextualSpacing/>
              <w:jc w:val="center"/>
              <w:rPr>
                <w:rFonts w:ascii="Arial" w:hAnsi="Arial" w:cs="Arial"/>
                <w:sz w:val="24"/>
                <w:szCs w:val="24"/>
                <w:lang w:val="az-Latn-AZ"/>
              </w:rPr>
            </w:pPr>
          </w:p>
        </w:tc>
        <w:tc>
          <w:tcPr>
            <w:tcW w:w="7154" w:type="dxa"/>
            <w:shd w:val="clear" w:color="auto" w:fill="auto"/>
            <w:vAlign w:val="center"/>
          </w:tcPr>
          <w:p w:rsidR="00BA1F07" w:rsidRPr="0061442C" w:rsidRDefault="00BA1F07" w:rsidP="00E1429D">
            <w:pPr>
              <w:rPr>
                <w:rFonts w:ascii="Arial" w:hAnsi="Arial" w:cs="Arial"/>
                <w:color w:val="000000"/>
                <w:sz w:val="24"/>
                <w:szCs w:val="24"/>
                <w:lang w:val="az-Latn-AZ"/>
              </w:rPr>
            </w:pPr>
            <w:r w:rsidRPr="0061442C">
              <w:rPr>
                <w:rFonts w:ascii="Arial" w:hAnsi="Arial" w:cs="Arial"/>
                <w:color w:val="000000"/>
                <w:sz w:val="24"/>
                <w:szCs w:val="24"/>
                <w:lang w:val="az-Latn-AZ"/>
              </w:rPr>
              <w:t>HPDE qofra  boruların quraşdırılması  (diametri 160  mm) (material sifarişçi tərəfindən təmin olunur)</w:t>
            </w:r>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rPr>
            </w:pPr>
            <w:proofErr w:type="spellStart"/>
            <w:r w:rsidRPr="0061442C">
              <w:rPr>
                <w:rFonts w:ascii="Arial" w:hAnsi="Arial" w:cs="Arial"/>
                <w:color w:val="000000"/>
                <w:sz w:val="24"/>
                <w:szCs w:val="24"/>
              </w:rPr>
              <w:t>metr</w:t>
            </w:r>
            <w:proofErr w:type="spellEnd"/>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rPr>
            </w:pPr>
            <w:r w:rsidRPr="0061442C">
              <w:rPr>
                <w:rFonts w:ascii="Arial" w:hAnsi="Arial" w:cs="Arial"/>
                <w:color w:val="000000"/>
                <w:sz w:val="24"/>
                <w:szCs w:val="24"/>
              </w:rPr>
              <w:t>6600</w:t>
            </w:r>
          </w:p>
        </w:tc>
      </w:tr>
      <w:tr w:rsidR="00BA1F07" w:rsidRPr="0061442C" w:rsidTr="00E1429D">
        <w:trPr>
          <w:trHeight w:val="50"/>
        </w:trPr>
        <w:tc>
          <w:tcPr>
            <w:tcW w:w="643" w:type="dxa"/>
            <w:vAlign w:val="center"/>
          </w:tcPr>
          <w:p w:rsidR="00BA1F07" w:rsidRPr="0061442C" w:rsidRDefault="00BA1F07" w:rsidP="00BA1F07">
            <w:pPr>
              <w:numPr>
                <w:ilvl w:val="0"/>
                <w:numId w:val="13"/>
              </w:numPr>
              <w:spacing w:after="0" w:line="20" w:lineRule="atLeast"/>
              <w:contextualSpacing/>
              <w:jc w:val="center"/>
              <w:rPr>
                <w:rFonts w:ascii="Arial" w:hAnsi="Arial" w:cs="Arial"/>
                <w:sz w:val="24"/>
                <w:szCs w:val="24"/>
                <w:lang w:val="az-Latn-AZ"/>
              </w:rPr>
            </w:pPr>
          </w:p>
        </w:tc>
        <w:tc>
          <w:tcPr>
            <w:tcW w:w="7154" w:type="dxa"/>
            <w:shd w:val="clear" w:color="auto" w:fill="auto"/>
            <w:vAlign w:val="center"/>
          </w:tcPr>
          <w:p w:rsidR="00BA1F07" w:rsidRPr="0061442C" w:rsidRDefault="00BA1F07" w:rsidP="00E1429D">
            <w:pPr>
              <w:rPr>
                <w:rFonts w:ascii="Arial" w:hAnsi="Arial" w:cs="Arial"/>
                <w:color w:val="000000"/>
                <w:sz w:val="24"/>
                <w:szCs w:val="24"/>
                <w:lang w:val="az-Latn-AZ"/>
              </w:rPr>
            </w:pPr>
            <w:r w:rsidRPr="0061442C">
              <w:rPr>
                <w:rFonts w:ascii="Arial" w:hAnsi="Arial" w:cs="Arial"/>
                <w:color w:val="000000"/>
                <w:sz w:val="24"/>
                <w:szCs w:val="24"/>
                <w:lang w:val="az-Latn-AZ"/>
              </w:rPr>
              <w:t>PPH qofra boru üçün birləşdirici muftaların quraşdırılması (material sifarişçi tərəfindən təmin olunur)</w:t>
            </w:r>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rPr>
            </w:pPr>
            <w:proofErr w:type="spellStart"/>
            <w:r w:rsidRPr="0061442C">
              <w:rPr>
                <w:rFonts w:ascii="Arial" w:hAnsi="Arial" w:cs="Arial"/>
                <w:color w:val="000000"/>
                <w:sz w:val="24"/>
                <w:szCs w:val="24"/>
              </w:rPr>
              <w:t>ədəd</w:t>
            </w:r>
            <w:proofErr w:type="spellEnd"/>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rPr>
            </w:pPr>
            <w:r w:rsidRPr="0061442C">
              <w:rPr>
                <w:rFonts w:ascii="Arial" w:hAnsi="Arial" w:cs="Arial"/>
                <w:color w:val="000000"/>
                <w:sz w:val="24"/>
                <w:szCs w:val="24"/>
              </w:rPr>
              <w:t>614</w:t>
            </w:r>
          </w:p>
        </w:tc>
      </w:tr>
      <w:tr w:rsidR="00BA1F07" w:rsidRPr="0061442C" w:rsidTr="00E1429D">
        <w:trPr>
          <w:trHeight w:val="50"/>
        </w:trPr>
        <w:tc>
          <w:tcPr>
            <w:tcW w:w="643" w:type="dxa"/>
            <w:vAlign w:val="center"/>
          </w:tcPr>
          <w:p w:rsidR="00BA1F07" w:rsidRPr="0061442C" w:rsidRDefault="00BA1F07" w:rsidP="00BA1F07">
            <w:pPr>
              <w:numPr>
                <w:ilvl w:val="0"/>
                <w:numId w:val="13"/>
              </w:numPr>
              <w:spacing w:after="0" w:line="20" w:lineRule="atLeast"/>
              <w:contextualSpacing/>
              <w:jc w:val="center"/>
              <w:rPr>
                <w:rFonts w:ascii="Arial" w:hAnsi="Arial" w:cs="Arial"/>
                <w:sz w:val="24"/>
                <w:szCs w:val="24"/>
                <w:lang w:val="az-Latn-AZ"/>
              </w:rPr>
            </w:pPr>
          </w:p>
        </w:tc>
        <w:tc>
          <w:tcPr>
            <w:tcW w:w="7154" w:type="dxa"/>
            <w:shd w:val="clear" w:color="auto" w:fill="auto"/>
            <w:vAlign w:val="center"/>
          </w:tcPr>
          <w:p w:rsidR="00BA1F07" w:rsidRPr="0061442C" w:rsidRDefault="00BA1F07" w:rsidP="00E1429D">
            <w:pPr>
              <w:rPr>
                <w:rFonts w:ascii="Arial" w:hAnsi="Arial" w:cs="Arial"/>
                <w:color w:val="000000"/>
                <w:sz w:val="24"/>
                <w:szCs w:val="24"/>
              </w:rPr>
            </w:pPr>
            <w:proofErr w:type="spellStart"/>
            <w:r w:rsidRPr="0061442C">
              <w:rPr>
                <w:rFonts w:ascii="Arial" w:hAnsi="Arial" w:cs="Arial"/>
                <w:color w:val="000000"/>
                <w:sz w:val="24"/>
                <w:szCs w:val="24"/>
              </w:rPr>
              <w:t>Kabel</w:t>
            </w:r>
            <w:proofErr w:type="spellEnd"/>
            <w:r w:rsidRPr="0061442C">
              <w:rPr>
                <w:rFonts w:ascii="Arial" w:hAnsi="Arial" w:cs="Arial"/>
                <w:color w:val="000000"/>
                <w:sz w:val="24"/>
                <w:szCs w:val="24"/>
              </w:rPr>
              <w:t xml:space="preserve"> </w:t>
            </w:r>
            <w:proofErr w:type="spellStart"/>
            <w:r w:rsidRPr="0061442C">
              <w:rPr>
                <w:rFonts w:ascii="Arial" w:hAnsi="Arial" w:cs="Arial"/>
                <w:color w:val="000000"/>
                <w:sz w:val="24"/>
                <w:szCs w:val="24"/>
              </w:rPr>
              <w:t>quyusunun</w:t>
            </w:r>
            <w:proofErr w:type="spellEnd"/>
            <w:r w:rsidRPr="0061442C">
              <w:rPr>
                <w:rFonts w:ascii="Arial" w:hAnsi="Arial" w:cs="Arial"/>
                <w:color w:val="000000"/>
                <w:sz w:val="24"/>
                <w:szCs w:val="24"/>
              </w:rPr>
              <w:t xml:space="preserve"> </w:t>
            </w:r>
            <w:proofErr w:type="spellStart"/>
            <w:r w:rsidRPr="0061442C">
              <w:rPr>
                <w:rFonts w:ascii="Arial" w:hAnsi="Arial" w:cs="Arial"/>
                <w:color w:val="000000"/>
                <w:sz w:val="24"/>
                <w:szCs w:val="24"/>
              </w:rPr>
              <w:t>bərpası</w:t>
            </w:r>
            <w:proofErr w:type="spellEnd"/>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rPr>
            </w:pPr>
            <w:proofErr w:type="spellStart"/>
            <w:r w:rsidRPr="0061442C">
              <w:rPr>
                <w:rFonts w:ascii="Arial" w:hAnsi="Arial" w:cs="Arial"/>
                <w:color w:val="000000"/>
                <w:sz w:val="24"/>
                <w:szCs w:val="24"/>
              </w:rPr>
              <w:t>ədəd</w:t>
            </w:r>
            <w:proofErr w:type="spellEnd"/>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rPr>
            </w:pPr>
            <w:r w:rsidRPr="0061442C">
              <w:rPr>
                <w:rFonts w:ascii="Arial" w:hAnsi="Arial" w:cs="Arial"/>
                <w:color w:val="000000"/>
                <w:sz w:val="24"/>
                <w:szCs w:val="24"/>
              </w:rPr>
              <w:t>2</w:t>
            </w:r>
          </w:p>
        </w:tc>
      </w:tr>
      <w:tr w:rsidR="00BA1F07" w:rsidRPr="0061442C" w:rsidTr="00E1429D">
        <w:trPr>
          <w:trHeight w:val="50"/>
        </w:trPr>
        <w:tc>
          <w:tcPr>
            <w:tcW w:w="643" w:type="dxa"/>
            <w:vAlign w:val="center"/>
          </w:tcPr>
          <w:p w:rsidR="00BA1F07" w:rsidRPr="0061442C" w:rsidRDefault="00BA1F07" w:rsidP="00BA1F07">
            <w:pPr>
              <w:numPr>
                <w:ilvl w:val="0"/>
                <w:numId w:val="13"/>
              </w:numPr>
              <w:spacing w:after="0" w:line="20" w:lineRule="atLeast"/>
              <w:contextualSpacing/>
              <w:jc w:val="center"/>
              <w:rPr>
                <w:rFonts w:ascii="Arial" w:hAnsi="Arial" w:cs="Arial"/>
                <w:sz w:val="24"/>
                <w:szCs w:val="24"/>
                <w:lang w:val="az-Latn-AZ"/>
              </w:rPr>
            </w:pPr>
          </w:p>
        </w:tc>
        <w:tc>
          <w:tcPr>
            <w:tcW w:w="7154" w:type="dxa"/>
            <w:shd w:val="clear" w:color="auto" w:fill="auto"/>
            <w:vAlign w:val="center"/>
          </w:tcPr>
          <w:p w:rsidR="00BA1F07" w:rsidRPr="0061442C" w:rsidRDefault="00BA1F07" w:rsidP="00E1429D">
            <w:pPr>
              <w:rPr>
                <w:rFonts w:ascii="Arial" w:hAnsi="Arial" w:cs="Arial"/>
                <w:color w:val="000000"/>
                <w:sz w:val="24"/>
                <w:szCs w:val="24"/>
                <w:lang w:val="az-Latn-AZ"/>
              </w:rPr>
            </w:pPr>
            <w:r w:rsidRPr="0061442C">
              <w:rPr>
                <w:rFonts w:ascii="Arial" w:hAnsi="Arial" w:cs="Arial"/>
                <w:color w:val="000000"/>
                <w:sz w:val="24"/>
                <w:szCs w:val="24"/>
                <w:lang w:val="az-Latn-AZ"/>
              </w:rPr>
              <w:t>Kabellərin üzərinə kərpicin qoyulması (materialla ilə birlikdə)</w:t>
            </w:r>
          </w:p>
        </w:tc>
        <w:tc>
          <w:tcPr>
            <w:tcW w:w="1134" w:type="dxa"/>
            <w:shd w:val="clear" w:color="auto" w:fill="auto"/>
            <w:vAlign w:val="center"/>
          </w:tcPr>
          <w:p w:rsidR="00BA1F07" w:rsidRPr="0061442C" w:rsidRDefault="00BA1F07" w:rsidP="00E1429D">
            <w:pPr>
              <w:jc w:val="center"/>
              <w:rPr>
                <w:rFonts w:ascii="Arial" w:hAnsi="Arial" w:cs="Arial"/>
                <w:sz w:val="24"/>
                <w:szCs w:val="24"/>
                <w:lang w:val="az-Latn-AZ"/>
              </w:rPr>
            </w:pPr>
            <w:r w:rsidRPr="0061442C">
              <w:rPr>
                <w:rFonts w:ascii="Arial" w:hAnsi="Arial" w:cs="Arial"/>
                <w:sz w:val="24"/>
                <w:szCs w:val="24"/>
                <w:lang w:val="az-Latn-AZ"/>
              </w:rPr>
              <w:t>ədəd</w:t>
            </w:r>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rPr>
            </w:pPr>
            <w:r w:rsidRPr="0061442C">
              <w:rPr>
                <w:rFonts w:ascii="Arial" w:hAnsi="Arial" w:cs="Arial"/>
                <w:color w:val="000000"/>
                <w:sz w:val="24"/>
                <w:szCs w:val="24"/>
              </w:rPr>
              <w:t>12000</w:t>
            </w:r>
          </w:p>
        </w:tc>
      </w:tr>
      <w:tr w:rsidR="00BA1F07" w:rsidRPr="0061442C" w:rsidTr="00E1429D">
        <w:trPr>
          <w:trHeight w:val="50"/>
        </w:trPr>
        <w:tc>
          <w:tcPr>
            <w:tcW w:w="643" w:type="dxa"/>
            <w:vAlign w:val="center"/>
          </w:tcPr>
          <w:p w:rsidR="00BA1F07" w:rsidRPr="0061442C" w:rsidRDefault="00BA1F07" w:rsidP="00BA1F07">
            <w:pPr>
              <w:numPr>
                <w:ilvl w:val="0"/>
                <w:numId w:val="13"/>
              </w:numPr>
              <w:spacing w:after="0" w:line="20" w:lineRule="atLeast"/>
              <w:contextualSpacing/>
              <w:jc w:val="center"/>
              <w:rPr>
                <w:rFonts w:ascii="Arial" w:hAnsi="Arial" w:cs="Arial"/>
                <w:sz w:val="24"/>
                <w:szCs w:val="24"/>
                <w:lang w:val="az-Latn-AZ"/>
              </w:rPr>
            </w:pPr>
          </w:p>
        </w:tc>
        <w:tc>
          <w:tcPr>
            <w:tcW w:w="7154" w:type="dxa"/>
            <w:shd w:val="clear" w:color="auto" w:fill="auto"/>
            <w:vAlign w:val="center"/>
          </w:tcPr>
          <w:p w:rsidR="00BA1F07" w:rsidRPr="0061442C" w:rsidRDefault="00BA1F07" w:rsidP="00E1429D">
            <w:pPr>
              <w:rPr>
                <w:rFonts w:ascii="Arial" w:hAnsi="Arial" w:cs="Arial"/>
                <w:color w:val="000000"/>
                <w:sz w:val="24"/>
                <w:szCs w:val="24"/>
                <w:lang w:val="az-Latn-AZ"/>
              </w:rPr>
            </w:pPr>
            <w:r w:rsidRPr="0061442C">
              <w:rPr>
                <w:rFonts w:ascii="Arial" w:hAnsi="Arial" w:cs="Arial"/>
                <w:color w:val="000000"/>
                <w:sz w:val="24"/>
                <w:szCs w:val="24"/>
                <w:lang w:val="az-Latn-AZ"/>
              </w:rPr>
              <w:t>Yol keçidi üçün beton borunun quraşdırılması (D 150  mm) (materialla birlikdə)</w:t>
            </w:r>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rPr>
            </w:pPr>
            <w:proofErr w:type="spellStart"/>
            <w:r w:rsidRPr="0061442C">
              <w:rPr>
                <w:rFonts w:ascii="Arial" w:hAnsi="Arial" w:cs="Arial"/>
                <w:color w:val="000000"/>
                <w:sz w:val="24"/>
                <w:szCs w:val="24"/>
              </w:rPr>
              <w:t>metr</w:t>
            </w:r>
            <w:proofErr w:type="spellEnd"/>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rPr>
            </w:pPr>
            <w:r w:rsidRPr="0061442C">
              <w:rPr>
                <w:rFonts w:ascii="Arial" w:hAnsi="Arial" w:cs="Arial"/>
                <w:color w:val="000000"/>
                <w:sz w:val="24"/>
                <w:szCs w:val="24"/>
              </w:rPr>
              <w:t>20</w:t>
            </w:r>
          </w:p>
        </w:tc>
      </w:tr>
      <w:tr w:rsidR="00BA1F07" w:rsidRPr="0061442C" w:rsidTr="00E1429D">
        <w:trPr>
          <w:trHeight w:val="50"/>
        </w:trPr>
        <w:tc>
          <w:tcPr>
            <w:tcW w:w="643" w:type="dxa"/>
            <w:vAlign w:val="center"/>
          </w:tcPr>
          <w:p w:rsidR="00BA1F07" w:rsidRPr="0061442C" w:rsidRDefault="00BA1F07" w:rsidP="00BA1F07">
            <w:pPr>
              <w:numPr>
                <w:ilvl w:val="0"/>
                <w:numId w:val="13"/>
              </w:numPr>
              <w:spacing w:after="0" w:line="20" w:lineRule="atLeast"/>
              <w:contextualSpacing/>
              <w:jc w:val="center"/>
              <w:rPr>
                <w:rFonts w:ascii="Arial" w:hAnsi="Arial" w:cs="Arial"/>
                <w:sz w:val="24"/>
                <w:szCs w:val="24"/>
                <w:lang w:val="az-Latn-AZ"/>
              </w:rPr>
            </w:pPr>
          </w:p>
        </w:tc>
        <w:tc>
          <w:tcPr>
            <w:tcW w:w="7154" w:type="dxa"/>
            <w:shd w:val="clear" w:color="auto" w:fill="auto"/>
            <w:vAlign w:val="center"/>
          </w:tcPr>
          <w:p w:rsidR="00BA1F07" w:rsidRPr="0061442C" w:rsidRDefault="00BA1F07" w:rsidP="00E1429D">
            <w:pPr>
              <w:rPr>
                <w:rFonts w:ascii="Arial" w:hAnsi="Arial" w:cs="Arial"/>
                <w:color w:val="000000"/>
                <w:sz w:val="24"/>
                <w:szCs w:val="24"/>
                <w:lang w:val="az-Latn-AZ"/>
              </w:rPr>
            </w:pPr>
            <w:r w:rsidRPr="0061442C">
              <w:rPr>
                <w:rFonts w:ascii="Arial" w:hAnsi="Arial" w:cs="Arial"/>
                <w:color w:val="000000"/>
                <w:sz w:val="24"/>
                <w:szCs w:val="24"/>
                <w:lang w:val="az-Latn-AZ"/>
              </w:rPr>
              <w:t>6 kV-luq vakum (yağ) açarlarının təmiri,sazlanması və sınağı</w:t>
            </w:r>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lang w:val="az-Latn-AZ"/>
              </w:rPr>
            </w:pPr>
            <w:r w:rsidRPr="0061442C">
              <w:rPr>
                <w:rFonts w:ascii="Arial" w:hAnsi="Arial" w:cs="Arial"/>
                <w:color w:val="000000"/>
                <w:sz w:val="24"/>
                <w:szCs w:val="24"/>
                <w:lang w:val="az-Latn-AZ"/>
              </w:rPr>
              <w:t>ədəd</w:t>
            </w:r>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lang w:val="az-Latn-AZ"/>
              </w:rPr>
            </w:pPr>
            <w:r w:rsidRPr="0061442C">
              <w:rPr>
                <w:rFonts w:ascii="Arial" w:hAnsi="Arial" w:cs="Arial"/>
                <w:color w:val="000000"/>
                <w:sz w:val="24"/>
                <w:szCs w:val="24"/>
                <w:lang w:val="az-Latn-AZ"/>
              </w:rPr>
              <w:t>7</w:t>
            </w:r>
          </w:p>
        </w:tc>
      </w:tr>
      <w:tr w:rsidR="00BA1F07" w:rsidRPr="0061442C" w:rsidTr="00E1429D">
        <w:trPr>
          <w:trHeight w:val="50"/>
        </w:trPr>
        <w:tc>
          <w:tcPr>
            <w:tcW w:w="643" w:type="dxa"/>
            <w:vAlign w:val="center"/>
          </w:tcPr>
          <w:p w:rsidR="00BA1F07" w:rsidRPr="0061442C" w:rsidRDefault="00BA1F07" w:rsidP="00BA1F07">
            <w:pPr>
              <w:numPr>
                <w:ilvl w:val="0"/>
                <w:numId w:val="13"/>
              </w:numPr>
              <w:spacing w:after="0" w:line="20" w:lineRule="atLeast"/>
              <w:contextualSpacing/>
              <w:jc w:val="center"/>
              <w:rPr>
                <w:rFonts w:ascii="Arial" w:hAnsi="Arial" w:cs="Arial"/>
                <w:sz w:val="24"/>
                <w:szCs w:val="24"/>
                <w:lang w:val="az-Latn-AZ"/>
              </w:rPr>
            </w:pPr>
          </w:p>
        </w:tc>
        <w:tc>
          <w:tcPr>
            <w:tcW w:w="7154" w:type="dxa"/>
            <w:shd w:val="clear" w:color="auto" w:fill="auto"/>
            <w:vAlign w:val="center"/>
          </w:tcPr>
          <w:p w:rsidR="00BA1F07" w:rsidRPr="0061442C" w:rsidRDefault="00BA1F07" w:rsidP="00E1429D">
            <w:pPr>
              <w:rPr>
                <w:rFonts w:ascii="Arial" w:hAnsi="Arial" w:cs="Arial"/>
                <w:color w:val="000000"/>
                <w:sz w:val="24"/>
                <w:szCs w:val="24"/>
                <w:lang w:val="az-Latn-AZ"/>
              </w:rPr>
            </w:pPr>
            <w:r w:rsidRPr="0061442C">
              <w:rPr>
                <w:rFonts w:ascii="Arial" w:hAnsi="Arial" w:cs="Arial"/>
                <w:color w:val="000000"/>
                <w:sz w:val="24"/>
                <w:szCs w:val="24"/>
                <w:lang w:val="az-Latn-AZ"/>
              </w:rPr>
              <w:t>Kabel xətlərinin sınağı və laboratoriya işləri</w:t>
            </w:r>
          </w:p>
        </w:tc>
        <w:tc>
          <w:tcPr>
            <w:tcW w:w="1134" w:type="dxa"/>
            <w:shd w:val="clear" w:color="auto" w:fill="auto"/>
            <w:vAlign w:val="center"/>
          </w:tcPr>
          <w:p w:rsidR="00BA1F07" w:rsidRPr="0061442C" w:rsidRDefault="00BA1F07" w:rsidP="00E1429D">
            <w:pPr>
              <w:rPr>
                <w:rFonts w:ascii="Arial" w:hAnsi="Arial" w:cs="Arial"/>
                <w:color w:val="000000"/>
                <w:sz w:val="24"/>
                <w:szCs w:val="24"/>
              </w:rPr>
            </w:pPr>
            <w:proofErr w:type="spellStart"/>
            <w:r w:rsidRPr="0061442C">
              <w:rPr>
                <w:rFonts w:ascii="Arial" w:hAnsi="Arial" w:cs="Arial"/>
                <w:color w:val="000000"/>
                <w:sz w:val="24"/>
                <w:szCs w:val="24"/>
              </w:rPr>
              <w:t>ədəd</w:t>
            </w:r>
            <w:proofErr w:type="spellEnd"/>
          </w:p>
        </w:tc>
        <w:tc>
          <w:tcPr>
            <w:tcW w:w="1134" w:type="dxa"/>
            <w:shd w:val="clear" w:color="auto" w:fill="auto"/>
            <w:vAlign w:val="center"/>
          </w:tcPr>
          <w:p w:rsidR="00BA1F07" w:rsidRPr="0061442C" w:rsidRDefault="00BA1F07" w:rsidP="00E1429D">
            <w:pPr>
              <w:jc w:val="center"/>
              <w:rPr>
                <w:rFonts w:ascii="Arial" w:hAnsi="Arial" w:cs="Arial"/>
                <w:color w:val="000000"/>
                <w:sz w:val="24"/>
                <w:szCs w:val="24"/>
              </w:rPr>
            </w:pPr>
            <w:r w:rsidRPr="0061442C">
              <w:rPr>
                <w:rFonts w:ascii="Arial" w:hAnsi="Arial" w:cs="Arial"/>
                <w:color w:val="000000"/>
                <w:sz w:val="24"/>
                <w:szCs w:val="24"/>
              </w:rPr>
              <w:t>6</w:t>
            </w:r>
          </w:p>
        </w:tc>
      </w:tr>
    </w:tbl>
    <w:p w:rsidR="000238B7" w:rsidRPr="00515350" w:rsidRDefault="000238B7" w:rsidP="000238B7">
      <w:pPr>
        <w:jc w:val="both"/>
        <w:rPr>
          <w:rFonts w:ascii="Arial" w:eastAsia="Times New Roman" w:hAnsi="Arial"/>
          <w:sz w:val="24"/>
          <w:szCs w:val="24"/>
          <w:lang w:val="az-Latn-AZ"/>
        </w:rPr>
      </w:pPr>
    </w:p>
    <w:p w:rsidR="007D398F" w:rsidRDefault="007D398F" w:rsidP="007D398F">
      <w:pPr>
        <w:jc w:val="center"/>
        <w:rPr>
          <w:rFonts w:ascii="Arial" w:hAnsi="Arial" w:cs="Arial"/>
          <w:b/>
          <w:sz w:val="32"/>
          <w:szCs w:val="32"/>
          <w:lang w:val="az-Latn-AZ"/>
        </w:rPr>
      </w:pPr>
    </w:p>
    <w:p w:rsidR="007D398F" w:rsidRDefault="007D398F" w:rsidP="007D398F">
      <w:pPr>
        <w:jc w:val="center"/>
        <w:rPr>
          <w:rFonts w:ascii="Arial" w:hAnsi="Arial" w:cs="Arial"/>
          <w:b/>
          <w:sz w:val="32"/>
          <w:szCs w:val="32"/>
          <w:lang w:val="az-Latn-AZ"/>
        </w:rPr>
      </w:pPr>
    </w:p>
    <w:p w:rsidR="007D398F" w:rsidRPr="001F1CB1" w:rsidRDefault="007D398F" w:rsidP="007D398F">
      <w:pPr>
        <w:jc w:val="center"/>
        <w:rPr>
          <w:rFonts w:ascii="Arial" w:hAnsi="Arial" w:cs="Arial"/>
          <w:b/>
          <w:color w:val="000000" w:themeColor="text1"/>
          <w:lang w:val="az-Latn-AZ"/>
        </w:rPr>
      </w:pPr>
      <w:r w:rsidRPr="001F1CB1">
        <w:rPr>
          <w:rFonts w:ascii="Arial" w:hAnsi="Arial" w:cs="Arial"/>
          <w:b/>
          <w:color w:val="000000" w:themeColor="text1"/>
          <w:lang w:val="az-Latn-AZ"/>
        </w:rPr>
        <w:t>Texniki suallarla bağlı</w:t>
      </w:r>
    </w:p>
    <w:p w:rsidR="007D398F" w:rsidRPr="00F63B41" w:rsidRDefault="007D398F" w:rsidP="007D398F">
      <w:pPr>
        <w:jc w:val="center"/>
        <w:rPr>
          <w:rFonts w:ascii="Arial" w:hAnsi="Arial" w:cs="Arial"/>
          <w:b/>
          <w:color w:val="000000"/>
          <w:lang w:val="az-Latn-AZ"/>
        </w:rPr>
      </w:pPr>
      <w:r w:rsidRPr="00F63B41">
        <w:rPr>
          <w:rFonts w:ascii="Arial" w:hAnsi="Arial" w:cs="Arial"/>
          <w:b/>
          <w:color w:val="000000"/>
          <w:lang w:val="az-Latn-AZ"/>
        </w:rPr>
        <w:t>Nazim Rəsulov</w:t>
      </w:r>
    </w:p>
    <w:p w:rsidR="007D398F" w:rsidRPr="00F63B41" w:rsidRDefault="007D398F" w:rsidP="007D398F">
      <w:pPr>
        <w:jc w:val="center"/>
        <w:rPr>
          <w:rFonts w:ascii="Arial" w:hAnsi="Arial" w:cs="Arial"/>
          <w:b/>
          <w:color w:val="000000"/>
          <w:lang w:val="az-Latn-AZ"/>
        </w:rPr>
      </w:pPr>
      <w:r w:rsidRPr="00F63B41">
        <w:rPr>
          <w:rFonts w:ascii="Arial" w:hAnsi="Arial" w:cs="Arial"/>
          <w:b/>
          <w:color w:val="000000"/>
          <w:lang w:val="az-Latn-AZ"/>
        </w:rPr>
        <w:t>Tel: 0502209076</w:t>
      </w:r>
    </w:p>
    <w:p w:rsidR="007D398F" w:rsidRPr="005479A7" w:rsidRDefault="007D398F" w:rsidP="007D398F">
      <w:pPr>
        <w:jc w:val="center"/>
        <w:rPr>
          <w:rFonts w:ascii="Arial" w:hAnsi="Arial" w:cs="Arial"/>
          <w:b/>
          <w:color w:val="000000"/>
          <w:lang w:val="az-Latn-AZ"/>
        </w:rPr>
      </w:pPr>
      <w:r w:rsidRPr="00F63B41">
        <w:rPr>
          <w:rFonts w:ascii="Arial" w:hAnsi="Arial" w:cs="Arial"/>
          <w:b/>
          <w:shd w:val="clear" w:color="auto" w:fill="FAFAFA"/>
          <w:lang w:val="az-Latn-AZ"/>
        </w:rPr>
        <w:t>E-mail: Nazim.rasulov</w:t>
      </w:r>
      <w:r w:rsidRPr="00F63B41">
        <w:rPr>
          <w:rFonts w:ascii="Arial" w:eastAsia="@Arial Unicode MS" w:hAnsi="Arial" w:cs="Arial"/>
          <w:b/>
          <w:color w:val="292929"/>
          <w:lang w:val="az-Latn-AZ"/>
        </w:rPr>
        <w:t>@asco.az</w:t>
      </w:r>
    </w:p>
    <w:p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042F36"/>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D7B5DD4"/>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9"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0"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1"/>
  </w:num>
  <w:num w:numId="5">
    <w:abstractNumId w:val="9"/>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38B7"/>
    <w:rsid w:val="0005107D"/>
    <w:rsid w:val="00067611"/>
    <w:rsid w:val="000844E8"/>
    <w:rsid w:val="000D291C"/>
    <w:rsid w:val="000D3766"/>
    <w:rsid w:val="000F79B8"/>
    <w:rsid w:val="00105198"/>
    <w:rsid w:val="001339AB"/>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3961"/>
    <w:rsid w:val="004B485C"/>
    <w:rsid w:val="004F79C0"/>
    <w:rsid w:val="005410D9"/>
    <w:rsid w:val="005816D7"/>
    <w:rsid w:val="005A2F17"/>
    <w:rsid w:val="005E2890"/>
    <w:rsid w:val="0060168D"/>
    <w:rsid w:val="00636B99"/>
    <w:rsid w:val="0066206B"/>
    <w:rsid w:val="0066264D"/>
    <w:rsid w:val="00695F55"/>
    <w:rsid w:val="006E5F12"/>
    <w:rsid w:val="00700872"/>
    <w:rsid w:val="00712393"/>
    <w:rsid w:val="0078668D"/>
    <w:rsid w:val="007D0D58"/>
    <w:rsid w:val="007D398F"/>
    <w:rsid w:val="00805A86"/>
    <w:rsid w:val="008175EE"/>
    <w:rsid w:val="00842727"/>
    <w:rsid w:val="008530EB"/>
    <w:rsid w:val="00904599"/>
    <w:rsid w:val="00923D30"/>
    <w:rsid w:val="0092454D"/>
    <w:rsid w:val="00932D9D"/>
    <w:rsid w:val="00993E0B"/>
    <w:rsid w:val="009E3E24"/>
    <w:rsid w:val="00A03334"/>
    <w:rsid w:val="00A40674"/>
    <w:rsid w:val="00A52307"/>
    <w:rsid w:val="00A62381"/>
    <w:rsid w:val="00A63558"/>
    <w:rsid w:val="00AE5082"/>
    <w:rsid w:val="00B05019"/>
    <w:rsid w:val="00B64945"/>
    <w:rsid w:val="00B67192"/>
    <w:rsid w:val="00BA1F07"/>
    <w:rsid w:val="00C243D3"/>
    <w:rsid w:val="00C3033D"/>
    <w:rsid w:val="00D8453D"/>
    <w:rsid w:val="00D9464D"/>
    <w:rsid w:val="00DB6356"/>
    <w:rsid w:val="00E13E8A"/>
    <w:rsid w:val="00E2513D"/>
    <w:rsid w:val="00E3338C"/>
    <w:rsid w:val="00E56453"/>
    <w:rsid w:val="00EB36FA"/>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FE7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1874</Words>
  <Characters>10685</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9</cp:revision>
  <dcterms:created xsi:type="dcterms:W3CDTF">2020-12-09T10:40:00Z</dcterms:created>
  <dcterms:modified xsi:type="dcterms:W3CDTF">2021-01-22T12:23:00Z</dcterms:modified>
</cp:coreProperties>
</file>