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273CD">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D378C7">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D378C7">
        <w:rPr>
          <w:rFonts w:ascii="Arial" w:eastAsia="Arial" w:hAnsi="Arial" w:cs="Arial"/>
          <w:b/>
          <w:sz w:val="22"/>
          <w:szCs w:val="22"/>
          <w:vertAlign w:val="baseline"/>
          <w:lang w:val="en-US"/>
        </w:rPr>
        <w:t>G No. AM022</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D378C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D378C7">
              <w:rPr>
                <w:rFonts w:ascii="Arial" w:eastAsia="Arial" w:hAnsi="Arial" w:cs="Arial"/>
                <w:b/>
                <w:sz w:val="20"/>
                <w:szCs w:val="22"/>
                <w:vertAlign w:val="baseline"/>
                <w:lang w:val="en-US"/>
              </w:rPr>
              <w:t>February 8</w:t>
            </w:r>
            <w:r w:rsidR="005C3DB9" w:rsidRPr="005C3DB9">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D378C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D378C7">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D378C7">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D378C7">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D378C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D378C7"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bookmarkStart w:id="0" w:name="_GoBack"/>
            <w:bookmarkEnd w:id="0"/>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D378C7">
              <w:rPr>
                <w:rFonts w:ascii="Arial" w:eastAsia="Arial" w:hAnsi="Arial" w:cs="Arial"/>
                <w:b/>
                <w:sz w:val="20"/>
                <w:szCs w:val="22"/>
                <w:vertAlign w:val="baseline"/>
                <w:lang w:val="en-US"/>
              </w:rPr>
              <w:t>February 20</w:t>
            </w:r>
            <w:r w:rsidR="00D378C7" w:rsidRPr="00D378C7">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D378C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D378C7"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D378C7">
              <w:rPr>
                <w:rFonts w:ascii="Arial" w:eastAsia="Arial" w:hAnsi="Arial" w:cs="Arial"/>
                <w:b/>
                <w:sz w:val="20"/>
                <w:szCs w:val="22"/>
                <w:vertAlign w:val="baseline"/>
                <w:lang w:val="en-US"/>
              </w:rPr>
              <w:t>February 21</w:t>
            </w:r>
            <w:r w:rsidR="00D378C7" w:rsidRPr="00D378C7">
              <w:rPr>
                <w:rFonts w:ascii="Arial" w:eastAsia="Arial" w:hAnsi="Arial" w:cs="Arial"/>
                <w:b/>
                <w:sz w:val="20"/>
                <w:szCs w:val="22"/>
                <w:lang w:val="en-US"/>
              </w:rPr>
              <w:t>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D378C7"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D378C7"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B62D9E" w:rsidRPr="00D378C7" w:rsidRDefault="000E1FBA" w:rsidP="00D378C7">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tc>
      </w:tr>
    </w:tbl>
    <w:p w:rsidR="005273CD" w:rsidRDefault="005273CD" w:rsidP="00B62D9E">
      <w:pPr>
        <w:spacing w:line="360" w:lineRule="auto"/>
        <w:rPr>
          <w:rFonts w:ascii="Arial" w:eastAsia="Arial" w:hAnsi="Arial" w:cs="Arial"/>
          <w:sz w:val="22"/>
          <w:szCs w:val="22"/>
          <w:vertAlign w:val="baseline"/>
          <w:lang w:val="az-Latn-AZ"/>
        </w:rPr>
      </w:pPr>
    </w:p>
    <w:p w:rsidR="00B62D9E" w:rsidRDefault="00B62D9E" w:rsidP="00B62D9E">
      <w:pPr>
        <w:spacing w:line="360" w:lineRule="auto"/>
        <w:rPr>
          <w:rFonts w:ascii="Arial" w:eastAsia="Arial" w:hAnsi="Arial" w:cs="Arial"/>
          <w:sz w:val="22"/>
          <w:szCs w:val="22"/>
          <w:vertAlign w:val="baseline"/>
          <w:lang w:val="az-Latn-AZ"/>
        </w:rPr>
      </w:pPr>
    </w:p>
    <w:p w:rsidR="00D378C7" w:rsidRPr="00B62D9E" w:rsidRDefault="00D378C7"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D378C7" w:rsidRPr="00DA2201" w:rsidTr="00345887">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8C7" w:rsidRPr="00F468B8" w:rsidRDefault="00D378C7" w:rsidP="0034588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rsidR="00D378C7" w:rsidRPr="00CB6A61" w:rsidRDefault="00D378C7" w:rsidP="0034588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rsidR="00D378C7" w:rsidRPr="000278B7" w:rsidRDefault="00D378C7" w:rsidP="0034588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rsidR="00D378C7" w:rsidRPr="000278B7" w:rsidRDefault="00D378C7" w:rsidP="0034588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rsidR="00D378C7" w:rsidRPr="000278B7" w:rsidRDefault="00D378C7" w:rsidP="0034588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D378C7" w:rsidRPr="00D378C7" w:rsidTr="00345887">
        <w:trPr>
          <w:trHeight w:hRule="exact" w:val="42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D378C7" w:rsidRDefault="00D378C7" w:rsidP="0034588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Şəki</w:t>
            </w:r>
            <w:proofErr w:type="spellEnd"/>
            <w:r>
              <w:rPr>
                <w:rFonts w:ascii="Palatino Linotype" w:hAnsi="Palatino Linotype"/>
                <w:b/>
                <w:sz w:val="22"/>
                <w:vertAlign w:val="baseline"/>
                <w:lang w:val="en-US"/>
              </w:rPr>
              <w:t>” / “Sheki</w:t>
            </w:r>
            <w:r w:rsidRPr="00CB6A61">
              <w:rPr>
                <w:rFonts w:ascii="Palatino Linotype" w:hAnsi="Palatino Linotype"/>
                <w:b/>
                <w:sz w:val="22"/>
                <w:vertAlign w:val="baseline"/>
                <w:lang w:val="en-US"/>
              </w:rPr>
              <w:t>”</w:t>
            </w:r>
          </w:p>
        </w:tc>
      </w:tr>
      <w:tr w:rsidR="00D378C7" w:rsidRPr="00D378C7" w:rsidTr="00345887">
        <w:trPr>
          <w:trHeight w:hRule="exact" w:val="419"/>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D378C7" w:rsidRPr="00CB6A61" w:rsidRDefault="00D378C7" w:rsidP="0034588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Baş</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mühərrik</w:t>
            </w:r>
            <w:proofErr w:type="spellEnd"/>
            <w:r>
              <w:rPr>
                <w:rFonts w:ascii="Palatino Linotype" w:hAnsi="Palatino Linotype"/>
                <w:b/>
                <w:sz w:val="22"/>
                <w:vertAlign w:val="baseline"/>
                <w:lang w:val="en-US"/>
              </w:rPr>
              <w:t xml:space="preserve">/main engine: </w:t>
            </w:r>
            <w:r w:rsidRPr="008D0555">
              <w:rPr>
                <w:rFonts w:ascii="Palatino Linotype" w:hAnsi="Palatino Linotype"/>
                <w:b/>
                <w:sz w:val="22"/>
                <w:vertAlign w:val="baseline"/>
                <w:lang w:val="en-US"/>
              </w:rPr>
              <w:t>MAN 6K45GFCA</w:t>
            </w:r>
          </w:p>
        </w:tc>
      </w:tr>
      <w:tr w:rsidR="00D378C7" w:rsidRPr="00DA2201" w:rsidTr="00345887">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sz w:val="18"/>
                <w:szCs w:val="18"/>
                <w:vertAlign w:val="baseline"/>
              </w:rPr>
              <w:t>Forsunka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injector</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w:t>
            </w:r>
          </w:p>
        </w:tc>
        <w:tc>
          <w:tcPr>
            <w:tcW w:w="1276" w:type="dxa"/>
            <w:tcBorders>
              <w:top w:val="nil"/>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Püsgürücü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Spindle guide</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90910-23-0536</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Şpindel</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sz w:val="18"/>
                <w:szCs w:val="18"/>
                <w:vertAlign w:val="baseline"/>
                <w:lang w:val="az-Latn-AZ"/>
              </w:rPr>
              <w:t>Valve spindle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90801-34-6482</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Sedlo</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Valve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90801-34-6393</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 xml:space="preserve">Cylinder piston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90706-04-2462</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Cylinder piston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90706-04-3352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r w:rsidRPr="008D0555">
              <w:rPr>
                <w:rFonts w:ascii="Palatino Linotype" w:hAnsi="Palatino Linotype" w:cs="Calibri"/>
                <w:color w:val="000000"/>
                <w:sz w:val="18"/>
                <w:szCs w:val="18"/>
                <w:vertAlign w:val="baseline"/>
                <w:lang w:val="az-Latn-AZ"/>
              </w:rPr>
              <w:t>Yanacaq nasosunun</w:t>
            </w:r>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amartizatoru</w:t>
            </w:r>
            <w:proofErr w:type="spellEnd"/>
            <w:r w:rsidRPr="008D0555">
              <w:rPr>
                <w:rFonts w:ascii="Palatino Linotype" w:hAnsi="Palatino Linotype" w:cs="Calibri"/>
                <w:color w:val="000000"/>
                <w:sz w:val="18"/>
                <w:szCs w:val="18"/>
                <w:vertAlign w:val="baseline"/>
              </w:rPr>
              <w:t xml:space="preserve"> </w:t>
            </w:r>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Fuel pump shock absorber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90901-35-1169</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Klapan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karobkası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yığımda</w:t>
            </w:r>
            <w:proofErr w:type="spellEnd"/>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Exhaust valve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Plunjer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cütü</w:t>
            </w:r>
            <w:proofErr w:type="spellEnd"/>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Pump 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90901-35-7509</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Lubrikator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cihazı</w:t>
            </w:r>
            <w:proofErr w:type="spellEnd"/>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Lubricator unit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90302-07-3825</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D378C7" w:rsidRPr="00C56B74" w:rsidTr="00345887">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0A11B4" w:rsidRDefault="00D378C7" w:rsidP="0034588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Buraxıcı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klapan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Starting valve</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90704-14</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1</w:t>
            </w:r>
          </w:p>
        </w:tc>
      </w:tr>
      <w:tr w:rsidR="00D378C7" w:rsidRPr="00C56B74" w:rsidTr="00345887">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0A11B4" w:rsidRDefault="00D378C7" w:rsidP="0034588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Yanacaq</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nasosunun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privodu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pump gear</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90902-14</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D378C7" w:rsidRPr="00C56B74" w:rsidTr="00345887">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0A11B4" w:rsidRDefault="00D378C7" w:rsidP="0034588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r w:rsidRPr="008D0555">
              <w:rPr>
                <w:rFonts w:ascii="Palatino Linotype" w:hAnsi="Palatino Linotype" w:cs="Calibri"/>
                <w:color w:val="000000"/>
                <w:sz w:val="18"/>
                <w:szCs w:val="18"/>
                <w:vertAlign w:val="baseline"/>
                <w:lang w:val="az-Latn-AZ"/>
              </w:rPr>
              <w:t>Klapan privodu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Valve gear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90805-30</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bl>
    <w:p w:rsidR="00B62D9E" w:rsidRDefault="00B62D9E"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D378C7">
        <w:rPr>
          <w:rFonts w:ascii="Arial" w:eastAsia="Arial" w:hAnsi="Arial" w:cs="Arial"/>
          <w:b/>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D378C7" w:rsidRPr="00D378C7">
        <w:rPr>
          <w:rFonts w:ascii="Arial" w:eastAsia="Arial" w:hAnsi="Arial" w:cs="Arial"/>
          <w:b/>
          <w:bCs/>
          <w:sz w:val="22"/>
          <w:szCs w:val="22"/>
          <w:vertAlign w:val="baseline"/>
          <w:lang w:val="en-US"/>
        </w:rPr>
        <w:t>(+99412) 379 17 61 / 2175</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B62D9E">
        <w:rPr>
          <w:rFonts w:ascii="Arial" w:eastAsia="Arial" w:hAnsi="Arial" w:cs="Arial"/>
          <w:b/>
          <w:bCs/>
          <w:sz w:val="22"/>
          <w:szCs w:val="22"/>
          <w:shd w:val="clear" w:color="auto" w:fill="FAFAFA"/>
          <w:vertAlign w:val="baseline"/>
          <w:lang w:val="az-Latn-AZ"/>
        </w:rPr>
        <w:t xml:space="preserve"> </w:t>
      </w:r>
      <w:hyperlink r:id="rId10" w:history="1">
        <w:r w:rsidR="00D378C7" w:rsidRPr="005A764E">
          <w:rPr>
            <w:rStyle w:val="Hyperlink"/>
            <w:rFonts w:ascii="Arial" w:hAnsi="Arial" w:cs="Arial"/>
            <w:b/>
            <w:sz w:val="32"/>
            <w:szCs w:val="32"/>
            <w:shd w:val="clear" w:color="auto" w:fill="FAFAFA"/>
            <w:lang w:val="az-Latn-AZ"/>
          </w:rPr>
          <w:t>farhad.fataliyev@asco.az</w:t>
        </w:r>
      </w:hyperlink>
      <w:r w:rsidR="00D378C7">
        <w:rPr>
          <w:rStyle w:val="Hyperlink"/>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ED" w:rsidRDefault="00F165ED" w:rsidP="005053B3">
      <w:r>
        <w:separator/>
      </w:r>
    </w:p>
  </w:endnote>
  <w:endnote w:type="continuationSeparator" w:id="0">
    <w:p w:rsidR="00F165ED" w:rsidRDefault="00F165ED"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ED" w:rsidRDefault="00F165ED" w:rsidP="005053B3">
      <w:r>
        <w:separator/>
      </w:r>
    </w:p>
  </w:footnote>
  <w:footnote w:type="continuationSeparator" w:id="0">
    <w:p w:rsidR="00F165ED" w:rsidRDefault="00F165ED"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84453"/>
    <w:rsid w:val="005C0A60"/>
    <w:rsid w:val="005C3DB9"/>
    <w:rsid w:val="005D0597"/>
    <w:rsid w:val="005F6E90"/>
    <w:rsid w:val="00613117"/>
    <w:rsid w:val="00627CDC"/>
    <w:rsid w:val="00631B6D"/>
    <w:rsid w:val="0063653C"/>
    <w:rsid w:val="0066018C"/>
    <w:rsid w:val="0067533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378C7"/>
    <w:rsid w:val="00D9251A"/>
    <w:rsid w:val="00D97D18"/>
    <w:rsid w:val="00DA0F58"/>
    <w:rsid w:val="00DA2DD8"/>
    <w:rsid w:val="00DF7529"/>
    <w:rsid w:val="00E27057"/>
    <w:rsid w:val="00E55A5E"/>
    <w:rsid w:val="00E62307"/>
    <w:rsid w:val="00ED5252"/>
    <w:rsid w:val="00EF6347"/>
    <w:rsid w:val="00F165ED"/>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E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rhad.fat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2023-01-30T12:15:00Z</dcterms:modified>
</cp:coreProperties>
</file>