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3F675F" w:rsidRDefault="00491E74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</w:t>
      </w:r>
      <w:r w:rsidR="002560D9">
        <w:rPr>
          <w:rFonts w:ascii="Arial" w:eastAsia="Arial" w:hAnsi="Arial" w:cs="Arial"/>
          <w:b/>
          <w:sz w:val="22"/>
          <w:szCs w:val="22"/>
          <w:vertAlign w:val="baseline"/>
        </w:rPr>
        <w:t>ЗАПЧАСТЕЙ ГЛАВНЫХ</w:t>
      </w:r>
      <w:r w:rsid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ДВИГА</w:t>
      </w:r>
      <w:bookmarkStart w:id="0" w:name="_GoBack"/>
      <w:bookmarkEnd w:id="0"/>
      <w:r w:rsidR="003F675F">
        <w:rPr>
          <w:rFonts w:ascii="Arial" w:eastAsia="Arial" w:hAnsi="Arial" w:cs="Arial"/>
          <w:b/>
          <w:sz w:val="22"/>
          <w:szCs w:val="22"/>
          <w:vertAlign w:val="baseline"/>
        </w:rPr>
        <w:t>ТЕЛ</w:t>
      </w:r>
      <w:r w:rsidR="00AB28E8">
        <w:rPr>
          <w:rFonts w:ascii="Arial" w:eastAsia="Arial" w:hAnsi="Arial" w:cs="Arial"/>
          <w:b/>
          <w:sz w:val="22"/>
          <w:szCs w:val="22"/>
          <w:vertAlign w:val="baseline"/>
        </w:rPr>
        <w:t>ЕЙ</w:t>
      </w: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ДЛЯ СУДОВ НА БАЛАНСЕ АСКО</w:t>
      </w:r>
    </w:p>
    <w:p w:rsidR="00202D94" w:rsidRPr="003F675F" w:rsidRDefault="002560D9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 о н к у р с №AM1</w:t>
      </w:r>
      <w:r>
        <w:rPr>
          <w:rFonts w:ascii="Arial" w:eastAsia="Arial" w:hAnsi="Arial" w:cs="Arial"/>
          <w:b/>
          <w:sz w:val="22"/>
          <w:szCs w:val="22"/>
          <w:vertAlign w:val="baseline"/>
          <w:lang w:val="en-US"/>
        </w:rPr>
        <w:t>49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/2022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чении периода функционирования)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;</w:t>
            </w:r>
          </w:p>
          <w:p w:rsidR="00202D94" w:rsidRPr="003F675F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Справка из соответствующих н</w:t>
            </w:r>
            <w:r w:rsid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алоговых органов об отсутствии 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F675F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2560D9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26</w:t>
            </w:r>
            <w:r w:rsidR="00DE44DA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августа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="002560D9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="002560D9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F675F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(без НДС)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100 (сто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) АЗН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F675F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2560D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lastRenderedPageBreak/>
                    <w:t>Наименование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DE44D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не. Закупочная организация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оставляет за собой право не при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нимать никаких недействительных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 случае если лица, желающие принять участие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в конкурсе закупок, предпочтут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представить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DE44DA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гарантию другого типа</w:t>
            </w:r>
            <w:r w:rsidR="00C54FD1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(аккредитив, ценные бумаги,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на счет</w:t>
            </w:r>
            <w:proofErr w:type="gramEnd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объявлении и получить согласие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F675F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3F675F">
              <w:rPr>
                <w:rFonts w:ascii="Arial" w:eastAsia="Arial" w:hAnsi="Arial" w:cs="Arial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AB28E8" w:rsidRDefault="00E83BA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Срок исполнения контракта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Предусматривается закупка товара не за раз, а по мере возникновения спроса.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F675F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16:30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C54FD1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7</w:t>
            </w:r>
            <w:r w:rsidR="002560D9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сентября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AB28E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AB28E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Мурад Мамедов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lastRenderedPageBreak/>
              <w:t>Ведущий специалист по закупкам Департамента Закупок АСКО</w:t>
            </w:r>
          </w:p>
          <w:p w:rsidR="00202D94" w:rsidRPr="003F675F" w:rsidRDefault="00491E74">
            <w:pPr>
              <w:rPr>
                <w:rFonts w:ascii="Arial" w:hAnsi="Arial" w:cs="Arial"/>
                <w:sz w:val="22"/>
                <w:szCs w:val="22"/>
                <w:vertAlign w:val="baseline"/>
                <w:lang w:val="az-Latn-AZ" w:eastAsia="en-US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, </w:t>
            </w:r>
            <w:hyperlink r:id="rId9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3F675F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:</w:t>
            </w:r>
          </w:p>
          <w:p w:rsidR="00202D94" w:rsidRPr="003F675F" w:rsidRDefault="00491E7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7F212F">
        <w:trPr>
          <w:trHeight w:hRule="exact" w:val="96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Вскр</w:t>
            </w:r>
            <w:r w:rsidR="002560D9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ытие конвертов будет производит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ся в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</w:t>
            </w:r>
            <w:r w:rsidR="002560D9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) 8</w:t>
            </w:r>
            <w:r w:rsidR="002560D9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сентября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</w:t>
            </w:r>
            <w:r w:rsidR="00AB28E8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победителе конкурса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AB28E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Прочие условия конкурса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895D77" w:rsidRPr="003F675F" w:rsidRDefault="00491E74" w:rsidP="007F6D7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lang w:val="az-Latn-AZ"/>
              </w:rPr>
            </w:pPr>
            <w:r w:rsidRPr="003F675F">
              <w:rPr>
                <w:rFonts w:ascii="Arial" w:eastAsia="Arial" w:hAnsi="Arial" w:cs="Arial"/>
                <w:bCs/>
              </w:rPr>
              <w:t>Участник должен иметь не менее 2 (два</w:t>
            </w:r>
            <w:r w:rsidR="00B76ED0">
              <w:rPr>
                <w:rFonts w:ascii="Arial" w:eastAsia="Arial" w:hAnsi="Arial" w:cs="Arial"/>
                <w:bCs/>
              </w:rPr>
              <w:t xml:space="preserve">) года опыта работы </w:t>
            </w:r>
            <w:r w:rsidR="00B76ED0" w:rsidRPr="00C54FD1">
              <w:rPr>
                <w:rFonts w:ascii="Arial" w:eastAsia="Arial" w:hAnsi="Arial" w:cs="Arial"/>
                <w:bCs/>
              </w:rPr>
              <w:t>по предмету тендера</w:t>
            </w:r>
            <w:r w:rsidRPr="003F675F">
              <w:rPr>
                <w:rFonts w:ascii="Arial" w:eastAsia="Arial" w:hAnsi="Arial" w:cs="Arial"/>
                <w:bCs/>
              </w:rPr>
              <w:t xml:space="preserve"> и предостави</w:t>
            </w:r>
            <w:r w:rsidR="00B76ED0">
              <w:rPr>
                <w:rFonts w:ascii="Arial" w:eastAsia="Arial" w:hAnsi="Arial" w:cs="Arial"/>
                <w:bCs/>
              </w:rPr>
              <w:t xml:space="preserve">ть подтвердительные документы. </w:t>
            </w:r>
          </w:p>
        </w:tc>
      </w:tr>
    </w:tbl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560D9" w:rsidRDefault="002560D9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711386" w:rsidRPr="003F675F" w:rsidRDefault="00711386" w:rsidP="007F6D7D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7F6D7D" w:rsidRDefault="007F6D7D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41" w:type="dxa"/>
        <w:tblInd w:w="-1281" w:type="dxa"/>
        <w:tblLook w:val="04A0" w:firstRow="1" w:lastRow="0" w:firstColumn="1" w:lastColumn="0" w:noHBand="0" w:noVBand="1"/>
      </w:tblPr>
      <w:tblGrid>
        <w:gridCol w:w="445"/>
        <w:gridCol w:w="3414"/>
        <w:gridCol w:w="3429"/>
        <w:gridCol w:w="1668"/>
        <w:gridCol w:w="1096"/>
        <w:gridCol w:w="1289"/>
      </w:tblGrid>
      <w:tr w:rsidR="002560D9" w:rsidRPr="0066463D" w:rsidTr="002560D9">
        <w:trPr>
          <w:trHeight w:hRule="exact" w:val="5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9" w:rsidRPr="00EE2A57" w:rsidRDefault="002560D9" w:rsidP="002560D9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9" w:rsidRPr="009B7B72" w:rsidRDefault="002560D9" w:rsidP="002560D9">
            <w:pPr>
              <w:pStyle w:val="NoSpacing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Описание Товаров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Pr="009B7B72" w:rsidRDefault="002560D9" w:rsidP="002560D9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Кодирование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Pr="00CF6DB5" w:rsidRDefault="002560D9" w:rsidP="002560D9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6"/>
                <w:lang w:val="az-Latn-AZ"/>
              </w:rPr>
            </w:pPr>
            <w:r w:rsidRPr="00CF6DB5">
              <w:rPr>
                <w:rFonts w:ascii="Palatino Linotype" w:eastAsia="Palatino Linotype" w:hAnsi="Palatino Linotype" w:cs="Arial"/>
                <w:b/>
                <w:bCs/>
                <w:sz w:val="16"/>
              </w:rPr>
              <w:t>Единица измерения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0D9" w:rsidRPr="009B7B72" w:rsidRDefault="002560D9" w:rsidP="002560D9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Количество</w:t>
            </w:r>
          </w:p>
        </w:tc>
      </w:tr>
      <w:tr w:rsidR="002560D9" w:rsidRPr="0066463D" w:rsidTr="00AE2D1F">
        <w:trPr>
          <w:trHeight w:hRule="exact" w:val="32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Pr="00EE2A57" w:rsidRDefault="002560D9" w:rsidP="00AE2D1F">
            <w:pPr>
              <w:pStyle w:val="NoSpacing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</w:rPr>
              <w:t>Название судна:</w:t>
            </w:r>
            <w:r>
              <w:rPr>
                <w:rFonts w:ascii="Palatino Linotype" w:hAnsi="Palatino Linotype"/>
                <w:b/>
                <w:bCs/>
                <w:sz w:val="20"/>
                <w:lang w:val="az-Latn-AZ"/>
              </w:rPr>
              <w:t xml:space="preserve"> Koroğlu</w:t>
            </w:r>
          </w:p>
        </w:tc>
      </w:tr>
      <w:tr w:rsidR="002560D9" w:rsidRPr="002560D9" w:rsidTr="00AE2D1F">
        <w:trPr>
          <w:trHeight w:hRule="exact" w:val="32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Pr="002560D9" w:rsidRDefault="002560D9" w:rsidP="00AE2D1F">
            <w:pPr>
              <w:pStyle w:val="NoSpacing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</w:rPr>
              <w:t>Назначение оборудования:</w:t>
            </w:r>
            <w:r w:rsidRPr="00D66640">
              <w:rPr>
                <w:rFonts w:ascii="Palatino Linotype" w:hAnsi="Palatino Linotype"/>
                <w:b/>
                <w:bCs/>
                <w:sz w:val="20"/>
                <w:lang w:val="az-Latn-AZ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0"/>
                <w:lang w:val="az-Latn-AZ"/>
              </w:rPr>
              <w:t>главный двигатель</w:t>
            </w:r>
            <w:r>
              <w:rPr>
                <w:rFonts w:ascii="Palatino Linotype" w:hAnsi="Palatino Linotype"/>
                <w:b/>
                <w:bCs/>
                <w:sz w:val="20"/>
                <w:lang w:val="az-Latn-AZ"/>
              </w:rPr>
              <w:t xml:space="preserve"> </w:t>
            </w:r>
            <w:r w:rsidRPr="004250F8">
              <w:rPr>
                <w:rFonts w:ascii="Palatino Linotype" w:hAnsi="Palatino Linotype"/>
                <w:b/>
                <w:bCs/>
                <w:sz w:val="20"/>
                <w:lang w:val="az-Latn-AZ"/>
              </w:rPr>
              <w:t xml:space="preserve">Wartsila </w:t>
            </w:r>
            <w:r w:rsidRPr="005C20B2">
              <w:rPr>
                <w:rFonts w:ascii="Palatino Linotype" w:hAnsi="Palatino Linotype"/>
                <w:b/>
                <w:bCs/>
                <w:sz w:val="20"/>
                <w:lang w:val="en-US"/>
              </w:rPr>
              <w:t>W</w:t>
            </w:r>
            <w:r w:rsidRPr="004250F8">
              <w:rPr>
                <w:rFonts w:ascii="Palatino Linotype" w:hAnsi="Palatino Linotype"/>
                <w:b/>
                <w:bCs/>
                <w:sz w:val="20"/>
                <w:lang w:val="az-Latn-AZ"/>
              </w:rPr>
              <w:t>9L20</w:t>
            </w:r>
          </w:p>
        </w:tc>
      </w:tr>
      <w:tr w:rsidR="002560D9" w:rsidRPr="00FF7E47" w:rsidTr="002560D9">
        <w:trPr>
          <w:trHeight w:hRule="exact" w:val="8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Pr="006A0E9D" w:rsidRDefault="002560D9" w:rsidP="00AE2D1F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AE2D1F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Silindr</w:t>
            </w:r>
            <w:proofErr w:type="spellEnd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qapa</w:t>
            </w: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ğı</w:t>
            </w:r>
            <w:proofErr w:type="spellEnd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y</w:t>
            </w:r>
            <w:proofErr w:type="spellStart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ığı</w:t>
            </w:r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mda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giriş və çıxış klapanları ilə, </w:t>
            </w:r>
            <w:r w:rsidRPr="008E2F4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AE2D1F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 xml:space="preserve">Cylinder head with inlet </w:t>
            </w: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 xml:space="preserve">&amp; exhaust valves assembly </w:t>
            </w:r>
            <w: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with Marine </w:t>
            </w:r>
            <w:r w:rsidRPr="00164C51">
              <w:rPr>
                <w:rFonts w:ascii="Palatino Linotype" w:hAnsi="Palatino Linotype"/>
                <w:sz w:val="20"/>
                <w:vertAlign w:val="baseline"/>
                <w:lang w:val="en-US"/>
              </w:rPr>
              <w:t>IACS</w:t>
            </w:r>
            <w:r>
              <w:rPr>
                <w:rFonts w:ascii="Palatino Linotype" w:hAnsi="Palatino Linotype"/>
                <w:sz w:val="20"/>
                <w:vertAlign w:val="baseline"/>
                <w:lang w:val="en-US"/>
              </w:rPr>
              <w:t xml:space="preserve"> Class certificate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AE2D1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120025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Pr="00B10C45" w:rsidRDefault="002560D9" w:rsidP="00AE2D1F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AE2D1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4</w:t>
            </w:r>
          </w:p>
        </w:tc>
      </w:tr>
      <w:tr w:rsidR="002560D9" w:rsidRPr="009C6E86" w:rsidTr="002560D9">
        <w:trPr>
          <w:trHeight w:hRule="exact"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Püskürücü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Bosch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Nozzle Gen</w:t>
            </w: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u</w:t>
            </w: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i</w:t>
            </w: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ne Bosc</w:t>
            </w: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h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167020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</w:t>
            </w:r>
          </w:p>
        </w:tc>
      </w:tr>
      <w:tr w:rsidR="002560D9" w:rsidRPr="009C6E86" w:rsidTr="002560D9">
        <w:trPr>
          <w:trHeight w:hRule="exact" w:val="27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Kompensator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Bellows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200006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Kompensator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Bellows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200007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Xaricedici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</w:t>
            </w:r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lapanın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oturacağı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Exhaust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valve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seat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120022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32</w:t>
            </w:r>
          </w:p>
        </w:tc>
      </w:tr>
      <w:tr w:rsidR="002560D9" w:rsidRPr="009C6E86" w:rsidTr="002560D9">
        <w:trPr>
          <w:trHeight w:hRule="exact" w:val="27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Sovurucu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</w:t>
            </w:r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lapanın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oturacağı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Inlet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valve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seat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120021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32</w:t>
            </w:r>
          </w:p>
        </w:tc>
      </w:tr>
      <w:tr w:rsidR="002560D9" w:rsidRPr="009C6E86" w:rsidTr="002560D9">
        <w:trPr>
          <w:trHeight w:hRule="exact" w:val="2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Xaricedici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klapan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Exhaust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valve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32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Sov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u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rucu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klapan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Inlet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valve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complete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121007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32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Klapan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ştanqası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Push-r</w:t>
            </w: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od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145001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Şatun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Conrod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</w:t>
            </w: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crew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111004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3DF4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Termostat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elementi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Thermostatic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Element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36.5°C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21AE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Termostat</w:t>
            </w:r>
            <w:proofErr w:type="spellEnd"/>
            <w:r w:rsidRPr="00F21AE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elementi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Thermostatic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Element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43°C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21AE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Termostat</w:t>
            </w:r>
            <w:proofErr w:type="spellEnd"/>
            <w:r w:rsidRPr="00F21AE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elementi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Thermostatic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Element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74°C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21AE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Termostat</w:t>
            </w:r>
            <w:proofErr w:type="spellEnd"/>
            <w:r w:rsidRPr="00F21AE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elementi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Thermostatic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Element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27°C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T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utucu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Holder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196057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6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T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utucu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Holder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183004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6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O-üzük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O-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183005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C355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O-üzük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O-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183076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C355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O-üzük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O-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196055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Şatunun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baş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yastığı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Gudgeon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pin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bearing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bush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111002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Porşenin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dəsti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Piston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set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113012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E/hissələr dəsti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Spare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parts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kit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156112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FD3CB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E/hissələr dəsti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Spare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parts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kit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156113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FD3CB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E/hissələr dəsti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Spare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parts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kit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156114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Bıçaqlı rotor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Bladed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shaft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156101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S</w:t>
            </w:r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u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nasosu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HT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Pump HT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191001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S</w:t>
            </w:r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u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nasosu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LT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Pump LT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191002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</w:t>
            </w:r>
          </w:p>
        </w:tc>
      </w:tr>
      <w:tr w:rsidR="002560D9" w:rsidRPr="00FF7E47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Valın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mex.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kipləyicisi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Shaft seal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191007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2560D9" w:rsidRPr="00FF7E47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İtələyicinin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ştifti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Tappet p</w:t>
            </w: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in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165030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İ</w:t>
            </w:r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tələyici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rolik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Tappet Roller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</w:t>
            </w: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65031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Karter üçün kipləyicilər dəsti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Sealing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set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for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crankcase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107017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O-üzük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O-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196056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10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Silindr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boltu-qaykası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Nut For Con-Rod Screw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111003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O-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121005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F846D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Klapanın itələyicisi yığma roliki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Valve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tappet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roller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kit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145015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O-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167011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D0399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O-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120017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72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D0399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O-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120018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72</w:t>
            </w:r>
          </w:p>
        </w:tc>
      </w:tr>
      <w:tr w:rsidR="002560D9" w:rsidRPr="00FF3DF4" w:rsidTr="002560D9">
        <w:trPr>
          <w:trHeight w:hRule="exact" w:val="5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5C20B2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Silindr</w:t>
            </w:r>
            <w:proofErr w:type="spellEnd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oyma</w:t>
            </w: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ğı</w:t>
            </w:r>
            <w:proofErr w:type="spellEnd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r w:rsidRPr="008E2F4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Dəniz Təsnifat Cəmiyyətinin sertifikatı ilə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 xml:space="preserve">Cylinder liner with </w:t>
            </w:r>
            <w: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Marine </w:t>
            </w:r>
            <w:r w:rsidRPr="00164C51">
              <w:rPr>
                <w:rFonts w:ascii="Palatino Linotype" w:hAnsi="Palatino Linotype"/>
                <w:sz w:val="20"/>
                <w:vertAlign w:val="baseline"/>
                <w:lang w:val="en-US"/>
              </w:rPr>
              <w:t>IACS</w:t>
            </w:r>
            <w:r>
              <w:rPr>
                <w:rFonts w:ascii="Palatino Linotype" w:hAnsi="Palatino Linotype"/>
                <w:sz w:val="20"/>
                <w:vertAlign w:val="baseline"/>
                <w:lang w:val="en-US"/>
              </w:rPr>
              <w:t xml:space="preserve"> Class certificate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3DF4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100002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F3DF4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6</w:t>
            </w:r>
          </w:p>
        </w:tc>
      </w:tr>
      <w:tr w:rsidR="002560D9" w:rsidRPr="00FF3DF4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FF3DF4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Termostat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elementi</w:t>
            </w:r>
            <w:r w:rsidRPr="00FF3DF4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82⁰C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FF3DF4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Thermostatic Element 82°C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3DF4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196015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F3DF4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4</w:t>
            </w:r>
          </w:p>
        </w:tc>
      </w:tr>
      <w:tr w:rsidR="002560D9" w:rsidRPr="009C6E86" w:rsidTr="002560D9">
        <w:trPr>
          <w:trHeight w:hRule="exact" w:val="55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3DF4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</w:t>
            </w:r>
            <w:proofErr w:type="spellStart"/>
            <w:r w:rsidRPr="00295A7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atun</w:t>
            </w:r>
            <w:proofErr w:type="spellEnd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295A7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yast</w:t>
            </w: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ığı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, aşağı, </w:t>
            </w:r>
            <w:r w:rsidRPr="008E2F4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Dəniz Təsnifat Cəmiyyətinin sertifikatı ilə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Big end bearing shell, lower</w:t>
            </w: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 xml:space="preserve"> with </w:t>
            </w:r>
            <w: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Marine </w:t>
            </w:r>
            <w:r w:rsidRPr="00164C51">
              <w:rPr>
                <w:rFonts w:ascii="Palatino Linotype" w:hAnsi="Palatino Linotype"/>
                <w:sz w:val="20"/>
                <w:vertAlign w:val="baseline"/>
                <w:lang w:val="en-US"/>
              </w:rPr>
              <w:t>IACS</w:t>
            </w:r>
            <w:r>
              <w:rPr>
                <w:rFonts w:ascii="Palatino Linotype" w:hAnsi="Palatino Linotype"/>
                <w:sz w:val="20"/>
                <w:vertAlign w:val="baseline"/>
                <w:lang w:val="en-US"/>
              </w:rPr>
              <w:t xml:space="preserve"> Class certificate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111005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5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3DF4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</w:t>
            </w:r>
            <w:proofErr w:type="spellStart"/>
            <w:r w:rsidRPr="00295A7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atun</w:t>
            </w:r>
            <w:proofErr w:type="spellEnd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295A7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yast</w:t>
            </w: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ığı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, yuxarı, </w:t>
            </w:r>
            <w:r w:rsidRPr="008E2F4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Dəniz Təsnifat Cəmiyyətinin sertifikatı ilə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Big end bearing shell, upper</w:t>
            </w: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 xml:space="preserve"> with </w:t>
            </w:r>
            <w: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Marine </w:t>
            </w:r>
            <w:r w:rsidRPr="00164C51">
              <w:rPr>
                <w:rFonts w:ascii="Palatino Linotype" w:hAnsi="Palatino Linotype"/>
                <w:sz w:val="20"/>
                <w:vertAlign w:val="baseline"/>
                <w:lang w:val="en-US"/>
              </w:rPr>
              <w:t>IACS</w:t>
            </w:r>
            <w:r>
              <w:rPr>
                <w:rFonts w:ascii="Palatino Linotype" w:hAnsi="Palatino Linotype"/>
                <w:sz w:val="20"/>
                <w:vertAlign w:val="baseline"/>
                <w:lang w:val="en-US"/>
              </w:rPr>
              <w:t xml:space="preserve"> Class certificate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111006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5C20B2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S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ilindr</w:t>
            </w:r>
            <w:proofErr w:type="spellEnd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vtulkas</w:t>
            </w:r>
            <w:proofErr w:type="spellEnd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ı </w:t>
            </w:r>
            <w:proofErr w:type="spellStart"/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üçü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n</w:t>
            </w: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D</w:t>
            </w: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-ü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z</w:t>
            </w:r>
            <w:r w:rsidRPr="005C20B2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k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D-ring for cylinder liner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100023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32</w:t>
            </w:r>
          </w:p>
        </w:tc>
      </w:tr>
      <w:tr w:rsidR="002560D9" w:rsidRPr="009C6E86" w:rsidTr="002560D9">
        <w:trPr>
          <w:trHeight w:hRule="exact" w:val="5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3DF4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Farsunka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yığımda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Bosch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Fuel Injection Valve - Complete Genuine Bosch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167005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9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ompensator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Bellows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600003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FF7E47" w:rsidTr="002560D9">
        <w:trPr>
          <w:trHeight w:hRule="exact" w:val="5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Porsen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yığma, </w:t>
            </w:r>
            <w:r w:rsidRPr="008E2F4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Dəniz Təsnifat Cəmiyyətinin sertifikatı ilə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Piston c</w:t>
            </w: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 xml:space="preserve">omplete with </w:t>
            </w:r>
            <w: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Marine </w:t>
            </w:r>
            <w:r w:rsidRPr="00164C51">
              <w:rPr>
                <w:rFonts w:ascii="Palatino Linotype" w:hAnsi="Palatino Linotype"/>
                <w:sz w:val="20"/>
                <w:vertAlign w:val="baseline"/>
                <w:lang w:val="en-US"/>
              </w:rPr>
              <w:t>IACS</w:t>
            </w:r>
            <w:r>
              <w:rPr>
                <w:rFonts w:ascii="Palatino Linotype" w:hAnsi="Palatino Linotype"/>
                <w:sz w:val="20"/>
                <w:vertAlign w:val="baseline"/>
                <w:lang w:val="en-US"/>
              </w:rPr>
              <w:t xml:space="preserve"> Class certificate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113001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2560D9" w:rsidRPr="00FF7E47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96095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O-ring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120026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96095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O-ring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FF7E47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1200</w:t>
            </w: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Kipləyici dəst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Sealing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s</w:t>
            </w: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et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182099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Yanacaq nasosunun e/hissələr dəsti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Fuel injection pump spare parts s</w:t>
            </w: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et Genuine Bosch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165058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Sentrafuqa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Centrifugal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filter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473001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</w:t>
            </w:r>
          </w:p>
        </w:tc>
      </w:tr>
      <w:tr w:rsidR="002560D9" w:rsidRPr="009C6E86" w:rsidTr="002560D9">
        <w:trPr>
          <w:trHeight w:hRule="exact"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Oda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davamlı</w:t>
            </w:r>
            <w:proofErr w:type="spellEnd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FF7E47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Anti-polishing</w:t>
            </w:r>
            <w:proofErr w:type="spellEnd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ring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100003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</w:t>
            </w:r>
          </w:p>
        </w:tc>
      </w:tr>
      <w:tr w:rsidR="002560D9" w:rsidRPr="009C6E86" w:rsidTr="002560D9">
        <w:trPr>
          <w:trHeight w:hRule="exact" w:val="4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9" w:rsidRDefault="002560D9" w:rsidP="002560D9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9" w:rsidRPr="00FF7E47" w:rsidRDefault="002560D9" w:rsidP="002560D9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Təzyiq klapanı yığma</w:t>
            </w:r>
          </w:p>
        </w:tc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  <w:lang w:val="en-US"/>
              </w:rPr>
              <w:t>Two-way pressure valve - complete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165042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D9" w:rsidRDefault="002560D9" w:rsidP="002560D9">
            <w:pPr>
              <w:jc w:val="center"/>
            </w:pPr>
            <w:proofErr w:type="spellStart"/>
            <w:r w:rsidRPr="002E43D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D9" w:rsidRPr="00B10C45" w:rsidRDefault="002560D9" w:rsidP="002560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9</w:t>
            </w:r>
          </w:p>
        </w:tc>
      </w:tr>
    </w:tbl>
    <w:p w:rsidR="00412FB1" w:rsidRPr="003F675F" w:rsidRDefault="00412FB1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6A47AF" w:rsidRDefault="006A47AF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>Гедир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Гусейнов,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3F675F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Т</w:t>
      </w:r>
      <w:r w:rsidR="006A47AF">
        <w:rPr>
          <w:rFonts w:ascii="Arial" w:eastAsia="Arial" w:hAnsi="Arial" w:cs="Arial"/>
          <w:b/>
          <w:bCs/>
          <w:sz w:val="22"/>
          <w:szCs w:val="22"/>
          <w:vertAlign w:val="baseline"/>
        </w:rPr>
        <w:t>ел.: +99412 4043700 (внутр. 2175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)</w:t>
      </w:r>
    </w:p>
    <w:p w:rsidR="004044C7" w:rsidRDefault="006A47AF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984728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tahir.seyidov@asco.az</w:t>
        </w:r>
      </w:hyperlink>
      <w:r>
        <w:rPr>
          <w:rStyle w:val="Hyperlink"/>
          <w:rFonts w:ascii="Arial" w:hAnsi="Arial" w:cs="Arial"/>
          <w:b/>
          <w:sz w:val="32"/>
          <w:szCs w:val="32"/>
          <w:shd w:val="clear" w:color="auto" w:fill="FAFAFA"/>
        </w:rPr>
        <w:t xml:space="preserve"> </w:t>
      </w:r>
    </w:p>
    <w:p w:rsidR="006A47AF" w:rsidRPr="006A47AF" w:rsidRDefault="006A47AF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До заключения договора купли-продажи с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 xml:space="preserve"> компанией победителем конкурса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 xml:space="preserve">Информация </w:t>
      </w:r>
      <w:r w:rsidR="00AB28E8">
        <w:rPr>
          <w:rFonts w:ascii="Arial" w:eastAsia="Arial" w:hAnsi="Arial" w:cs="Arial"/>
          <w:sz w:val="18"/>
          <w:szCs w:val="18"/>
        </w:rPr>
        <w:t>об учредителе юридического лица</w:t>
      </w:r>
      <w:r w:rsidRPr="00AB28E8">
        <w:rPr>
          <w:rFonts w:ascii="Arial" w:eastAsia="Arial" w:hAnsi="Arial" w:cs="Arial"/>
          <w:sz w:val="18"/>
          <w:szCs w:val="18"/>
        </w:rPr>
        <w:t xml:space="preserve"> в случае если учредитель является юридическим лицом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00180" w:rsidRPr="00AB28E8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491E74" w:rsidRPr="00AB28E8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28E8"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00180" w:rsidRPr="00AB28E8" w:rsidRDefault="00200180" w:rsidP="00200180">
      <w:pPr>
        <w:jc w:val="both"/>
        <w:rPr>
          <w:rFonts w:ascii="Arial" w:hAnsi="Arial" w:cs="Arial"/>
          <w:sz w:val="18"/>
          <w:szCs w:val="18"/>
          <w:vertAlign w:val="baseline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b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>Договор не будет заключен с компаниями</w:t>
      </w:r>
      <w:r w:rsidR="006A47AF">
        <w:rPr>
          <w:rFonts w:ascii="Arial" w:eastAsia="Arial" w:hAnsi="Arial" w:cs="Arial"/>
          <w:sz w:val="18"/>
          <w:szCs w:val="18"/>
          <w:vertAlign w:val="baseline"/>
        </w:rPr>
        <w:t>,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</w:t>
      </w:r>
      <w:proofErr w:type="gramStart"/>
      <w:r w:rsidRPr="00AB28E8">
        <w:rPr>
          <w:rFonts w:ascii="Arial" w:eastAsia="Arial" w:hAnsi="Arial" w:cs="Arial"/>
          <w:sz w:val="18"/>
          <w:szCs w:val="18"/>
          <w:vertAlign w:val="baseline"/>
        </w:rPr>
        <w:t>процедуры проверки</w:t>
      </w:r>
      <w:proofErr w:type="gramEnd"/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и 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>они будут исключены из конкурса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C9" w:rsidRDefault="003A00C9" w:rsidP="009439ED">
      <w:r>
        <w:separator/>
      </w:r>
    </w:p>
  </w:endnote>
  <w:endnote w:type="continuationSeparator" w:id="0">
    <w:p w:rsidR="003A00C9" w:rsidRDefault="003A00C9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C9" w:rsidRDefault="003A00C9" w:rsidP="009439ED">
      <w:r>
        <w:separator/>
      </w:r>
    </w:p>
  </w:footnote>
  <w:footnote w:type="continuationSeparator" w:id="0">
    <w:p w:rsidR="003A00C9" w:rsidRDefault="003A00C9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200180"/>
    <w:rsid w:val="00202D94"/>
    <w:rsid w:val="00212419"/>
    <w:rsid w:val="00220DA5"/>
    <w:rsid w:val="002560D9"/>
    <w:rsid w:val="0028380B"/>
    <w:rsid w:val="002948E4"/>
    <w:rsid w:val="002B1F33"/>
    <w:rsid w:val="00383930"/>
    <w:rsid w:val="003A00C9"/>
    <w:rsid w:val="003F675F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D0597"/>
    <w:rsid w:val="005F6E90"/>
    <w:rsid w:val="00613117"/>
    <w:rsid w:val="0063653C"/>
    <w:rsid w:val="0066018C"/>
    <w:rsid w:val="00675330"/>
    <w:rsid w:val="006A47AF"/>
    <w:rsid w:val="00711386"/>
    <w:rsid w:val="00736202"/>
    <w:rsid w:val="00754FFD"/>
    <w:rsid w:val="007858C3"/>
    <w:rsid w:val="007C7741"/>
    <w:rsid w:val="007F212F"/>
    <w:rsid w:val="007F6D7D"/>
    <w:rsid w:val="00823515"/>
    <w:rsid w:val="00836AB5"/>
    <w:rsid w:val="00846011"/>
    <w:rsid w:val="00875272"/>
    <w:rsid w:val="008909B8"/>
    <w:rsid w:val="00895D77"/>
    <w:rsid w:val="00896570"/>
    <w:rsid w:val="00940B67"/>
    <w:rsid w:val="009439ED"/>
    <w:rsid w:val="009B7B72"/>
    <w:rsid w:val="009C45EF"/>
    <w:rsid w:val="00A86A1B"/>
    <w:rsid w:val="00AB28E8"/>
    <w:rsid w:val="00AD45C1"/>
    <w:rsid w:val="00AD74DD"/>
    <w:rsid w:val="00B35EC0"/>
    <w:rsid w:val="00B74669"/>
    <w:rsid w:val="00B76ED0"/>
    <w:rsid w:val="00B87417"/>
    <w:rsid w:val="00BA2C6F"/>
    <w:rsid w:val="00BB5711"/>
    <w:rsid w:val="00BE59EA"/>
    <w:rsid w:val="00BF225F"/>
    <w:rsid w:val="00C101E2"/>
    <w:rsid w:val="00C54FD1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F6347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25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ahir.seyid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2022-08-17T12:12:00Z</dcterms:modified>
</cp:coreProperties>
</file>