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77AC9">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577AC9">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A47D44">
        <w:rPr>
          <w:rFonts w:ascii="Arial" w:eastAsia="Arial" w:hAnsi="Arial" w:cs="Arial"/>
          <w:b/>
          <w:sz w:val="24"/>
          <w:szCs w:val="24"/>
          <w:vertAlign w:val="baseline"/>
          <w:lang w:val="en-US"/>
        </w:rPr>
        <w:t>s</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577AC9">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AD41A6">
        <w:rPr>
          <w:rFonts w:ascii="Arial" w:eastAsia="Arial" w:hAnsi="Arial" w:cs="Arial"/>
          <w:b/>
          <w:sz w:val="22"/>
          <w:szCs w:val="22"/>
          <w:vertAlign w:val="baseline"/>
          <w:lang w:val="en-US"/>
        </w:rPr>
        <w:t>G No. AM025</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945FBE"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AD41A6">
              <w:rPr>
                <w:rFonts w:ascii="Arial" w:eastAsia="Arial" w:hAnsi="Arial" w:cs="Arial"/>
                <w:b/>
                <w:sz w:val="20"/>
                <w:szCs w:val="22"/>
                <w:vertAlign w:val="baseline"/>
                <w:lang w:val="en-US"/>
              </w:rPr>
              <w:t>February 17</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945FBE"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692250">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692250">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945FBE">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945FBE"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945FBE"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AD41A6">
              <w:rPr>
                <w:rFonts w:ascii="Arial" w:eastAsia="Arial" w:hAnsi="Arial" w:cs="Arial"/>
                <w:b/>
                <w:sz w:val="20"/>
                <w:szCs w:val="22"/>
                <w:vertAlign w:val="baseline"/>
                <w:lang w:val="en-US"/>
              </w:rPr>
              <w:t>March 3</w:t>
            </w:r>
            <w:r w:rsidR="00AD41A6" w:rsidRPr="00AD41A6">
              <w:rPr>
                <w:rFonts w:ascii="Arial" w:eastAsia="Arial" w:hAnsi="Arial" w:cs="Arial"/>
                <w:b/>
                <w:sz w:val="20"/>
                <w:szCs w:val="22"/>
                <w:lang w:val="en-US"/>
              </w:rPr>
              <w:t>rd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945FBE"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945FBE"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AD41A6">
              <w:rPr>
                <w:rFonts w:ascii="Arial" w:eastAsia="Arial" w:hAnsi="Arial" w:cs="Arial"/>
                <w:b/>
                <w:sz w:val="20"/>
                <w:szCs w:val="22"/>
                <w:vertAlign w:val="baseline"/>
                <w:lang w:val="en-US"/>
              </w:rPr>
              <w:t>March 6</w:t>
            </w:r>
            <w:r w:rsidR="00692250" w:rsidRPr="00692250">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945FBE"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945FBE"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94" w:type="dxa"/>
        <w:tblInd w:w="-1423" w:type="dxa"/>
        <w:tblLook w:val="04A0" w:firstRow="1" w:lastRow="0" w:firstColumn="1" w:lastColumn="0" w:noHBand="0" w:noVBand="1"/>
      </w:tblPr>
      <w:tblGrid>
        <w:gridCol w:w="424"/>
        <w:gridCol w:w="100"/>
        <w:gridCol w:w="3309"/>
        <w:gridCol w:w="2618"/>
        <w:gridCol w:w="114"/>
        <w:gridCol w:w="1314"/>
        <w:gridCol w:w="1249"/>
        <w:gridCol w:w="1966"/>
      </w:tblGrid>
      <w:tr w:rsidR="00EF608B" w:rsidRPr="008621E2" w:rsidTr="000B64BA">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08B" w:rsidRPr="008621E2" w:rsidRDefault="00EF608B" w:rsidP="000B64BA">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rsidR="00EF608B" w:rsidRPr="008621E2" w:rsidRDefault="00EF608B" w:rsidP="000B64BA">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gridSpan w:val="2"/>
            <w:tcBorders>
              <w:top w:val="single" w:sz="4" w:space="0" w:color="auto"/>
              <w:left w:val="nil"/>
              <w:bottom w:val="single" w:sz="4" w:space="0" w:color="auto"/>
              <w:right w:val="single" w:sz="4" w:space="0" w:color="auto"/>
            </w:tcBorders>
          </w:tcPr>
          <w:p w:rsidR="00EF608B" w:rsidRPr="008621E2" w:rsidRDefault="00EF608B" w:rsidP="000B64BA">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EF608B" w:rsidRPr="008621E2" w:rsidRDefault="00EF608B" w:rsidP="000B64BA">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66" w:type="dxa"/>
            <w:tcBorders>
              <w:top w:val="single" w:sz="4" w:space="0" w:color="auto"/>
              <w:left w:val="nil"/>
              <w:bottom w:val="single" w:sz="4" w:space="0" w:color="auto"/>
              <w:right w:val="single" w:sz="4" w:space="0" w:color="auto"/>
            </w:tcBorders>
          </w:tcPr>
          <w:p w:rsidR="00EF608B" w:rsidRPr="008621E2" w:rsidRDefault="00EF608B" w:rsidP="000B64BA">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EF608B" w:rsidRPr="00945FBE" w:rsidTr="000B64BA">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608B" w:rsidRPr="00FE6B18" w:rsidRDefault="00EF608B" w:rsidP="000B64BA">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“Balaken</w:t>
            </w:r>
            <w:r w:rsidRPr="00FE6B18">
              <w:rPr>
                <w:rFonts w:ascii="Palatino Linotype" w:hAnsi="Palatino Linotype" w:cs="Tahoma"/>
                <w:b/>
                <w:color w:val="000000"/>
                <w:sz w:val="20"/>
                <w:szCs w:val="18"/>
                <w:vertAlign w:val="baseline"/>
                <w:lang w:val="az-Latn-AZ"/>
              </w:rPr>
              <w:t>”</w:t>
            </w:r>
            <w:r w:rsidRPr="00FE6B18">
              <w:rPr>
                <w:rFonts w:ascii="Palatino Linotype" w:hAnsi="Palatino Linotype" w:cs="Tahoma"/>
                <w:color w:val="000000"/>
                <w:sz w:val="20"/>
                <w:szCs w:val="18"/>
                <w:vertAlign w:val="baseline"/>
                <w:lang w:val="az-Latn-AZ"/>
              </w:rPr>
              <w:t xml:space="preserve"> </w:t>
            </w:r>
          </w:p>
        </w:tc>
      </w:tr>
      <w:tr w:rsidR="00EF608B" w:rsidRPr="00945FBE" w:rsidTr="000B64BA">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rPr>
                <w:rFonts w:ascii="Palatino Linotype" w:hAnsi="Palatino Linotype"/>
                <w:b/>
                <w:sz w:val="20"/>
                <w:vertAlign w:val="baseline"/>
                <w:lang w:val="az-Latn-AZ"/>
              </w:rPr>
            </w:pPr>
            <w:r w:rsidRPr="00121647">
              <w:rPr>
                <w:rFonts w:ascii="Palatino Linotype" w:hAnsi="Palatino Linotype"/>
                <w:b/>
                <w:sz w:val="20"/>
                <w:vertAlign w:val="baseline"/>
                <w:lang w:val="az-Latn-AZ"/>
              </w:rPr>
              <w:t>Köməkçi mühərrik/auxiliary engine: MAN D2876LE301</w:t>
            </w:r>
          </w:p>
        </w:tc>
      </w:tr>
      <w:tr w:rsidR="00EF608B" w:rsidRPr="00121647" w:rsidTr="000B64BA">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Forsunka</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 xml:space="preserve">Injector complete </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51.10100-7407</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EF608B" w:rsidRPr="00121647" w:rsidTr="000B64BA">
        <w:trPr>
          <w:trHeight w:hRule="exact" w:val="30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Püskürücü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Nozzle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51.10102-0244</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EF608B" w:rsidRPr="00121647" w:rsidTr="000B64BA">
        <w:trPr>
          <w:trHeight w:hRule="exact" w:val="50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color w:val="000000"/>
                <w:sz w:val="18"/>
                <w:szCs w:val="18"/>
                <w:vertAlign w:val="baseline"/>
                <w:lang w:val="az-Latn-AZ"/>
              </w:rPr>
              <w:t>Silindir oymağı, 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en-US"/>
              </w:rPr>
            </w:pPr>
            <w:r w:rsidRPr="00121647">
              <w:rPr>
                <w:rFonts w:ascii="Palatino Linotype" w:hAnsi="Palatino Linotype"/>
                <w:color w:val="000000"/>
                <w:sz w:val="16"/>
                <w:szCs w:val="18"/>
                <w:vertAlign w:val="baseline"/>
                <w:lang w:val="az-Latn-AZ"/>
              </w:rPr>
              <w:t>CYLINDER LINER, with Marine IACS Class certificate STD</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51.01201-0468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EF608B" w:rsidRPr="00121647" w:rsidTr="000B64BA">
        <w:trPr>
          <w:trHeight w:hRule="exact" w:val="36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Maxovikin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dişli</w:t>
            </w:r>
            <w:proofErr w:type="spellEnd"/>
            <w:r w:rsidRPr="00121647">
              <w:rPr>
                <w:rFonts w:ascii="Palatino Linotype" w:hAnsi="Palatino Linotype" w:cs="Calibri"/>
                <w:sz w:val="18"/>
                <w:szCs w:val="18"/>
                <w:vertAlign w:val="baseline"/>
              </w:rPr>
              <w:t xml:space="preserve"> </w:t>
            </w:r>
            <w:r w:rsidRPr="00121647">
              <w:rPr>
                <w:rFonts w:ascii="Palatino Linotype" w:hAnsi="Palatino Linotype" w:cs="Calibri"/>
                <w:sz w:val="18"/>
                <w:szCs w:val="18"/>
                <w:vertAlign w:val="baseline"/>
                <w:lang w:val="az-Latn-AZ"/>
              </w:rPr>
              <w:t>ötürücüsü</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Starting sprocket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51.02310-0097</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EF608B" w:rsidRPr="00121647" w:rsidTr="000B64BA">
        <w:trPr>
          <w:trHeight w:hRule="exact" w:val="6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 xml:space="preserve">Porşen, </w:t>
            </w:r>
            <w:r w:rsidRPr="00121647">
              <w:rPr>
                <w:rFonts w:ascii="Palatino Linotype" w:hAnsi="Palatino Linotype" w:cs="Calibri"/>
                <w:color w:val="000000"/>
                <w:sz w:val="18"/>
                <w:szCs w:val="18"/>
                <w:vertAlign w:val="baseline"/>
                <w:lang w:val="az-Latn-AZ"/>
              </w:rPr>
              <w:t>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 xml:space="preserve">Piston, </w:t>
            </w:r>
            <w:r w:rsidRPr="00121647">
              <w:rPr>
                <w:rFonts w:ascii="Palatino Linotype" w:hAnsi="Palatino Linotype"/>
                <w:color w:val="000000"/>
                <w:sz w:val="18"/>
                <w:szCs w:val="18"/>
                <w:vertAlign w:val="baseline"/>
                <w:lang w:val="az-Latn-AZ"/>
              </w:rPr>
              <w:t xml:space="preserve">with Marine IACS Class certificate STD </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51.025200-6015</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12</w:t>
            </w:r>
          </w:p>
        </w:tc>
      </w:tr>
      <w:tr w:rsidR="00EF608B" w:rsidRPr="00121647" w:rsidTr="000B64BA">
        <w:trPr>
          <w:trHeight w:hRule="exact" w:val="5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 xml:space="preserve">Matıl yastığı, </w:t>
            </w:r>
            <w:r w:rsidRPr="00121647">
              <w:rPr>
                <w:rFonts w:ascii="Palatino Linotype" w:hAnsi="Palatino Linotype" w:cs="Calibri"/>
                <w:color w:val="000000"/>
                <w:sz w:val="18"/>
                <w:szCs w:val="18"/>
                <w:vertAlign w:val="baseline"/>
                <w:lang w:val="az-Latn-AZ"/>
              </w:rPr>
              <w:t>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az-Latn-AZ"/>
              </w:rPr>
            </w:pPr>
            <w:r w:rsidRPr="00121647">
              <w:rPr>
                <w:rFonts w:ascii="Palatino Linotype" w:hAnsi="Palatino Linotype"/>
                <w:color w:val="000000"/>
                <w:sz w:val="18"/>
                <w:szCs w:val="18"/>
                <w:vertAlign w:val="baseline"/>
                <w:lang w:val="az-Latn-AZ"/>
              </w:rPr>
              <w:t xml:space="preserve">Conrod bearing, with Marine IACS Class certificate STD </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51.02410-6632</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EF608B" w:rsidRPr="00121647" w:rsidTr="000B64BA">
        <w:trPr>
          <w:trHeight w:hRule="exact" w:val="55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 xml:space="preserve">Rama yastığı, </w:t>
            </w:r>
            <w:r w:rsidRPr="00121647">
              <w:rPr>
                <w:rFonts w:ascii="Palatino Linotype" w:hAnsi="Palatino Linotype" w:cs="Calibri"/>
                <w:color w:val="000000"/>
                <w:sz w:val="18"/>
                <w:szCs w:val="18"/>
                <w:vertAlign w:val="baseline"/>
                <w:lang w:val="az-Latn-AZ"/>
              </w:rPr>
              <w:t>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az-Latn-AZ"/>
              </w:rPr>
            </w:pPr>
            <w:r w:rsidRPr="00121647">
              <w:rPr>
                <w:rFonts w:ascii="Palatino Linotype" w:hAnsi="Palatino Linotype"/>
                <w:color w:val="000000"/>
                <w:sz w:val="18"/>
                <w:szCs w:val="18"/>
                <w:vertAlign w:val="baseline"/>
                <w:lang w:val="az-Latn-AZ"/>
              </w:rPr>
              <w:t>Main bearing, with Marine IACS Class certificate STD</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51.01113-6066</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28</w:t>
            </w:r>
          </w:p>
        </w:tc>
      </w:tr>
      <w:tr w:rsidR="00EF608B" w:rsidRPr="00121647" w:rsidTr="000B64BA">
        <w:trPr>
          <w:trHeight w:hRule="exact" w:val="5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color w:val="000000"/>
                <w:sz w:val="18"/>
                <w:szCs w:val="18"/>
                <w:vertAlign w:val="baseline"/>
                <w:lang w:val="az-Latn-AZ"/>
              </w:rPr>
              <w:t>Silindr qapağı, 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 xml:space="preserve">Cylinder cover, </w:t>
            </w:r>
            <w:r w:rsidRPr="00121647">
              <w:rPr>
                <w:rFonts w:ascii="Palatino Linotype" w:hAnsi="Palatino Linotype"/>
                <w:color w:val="000000"/>
                <w:sz w:val="18"/>
                <w:szCs w:val="18"/>
                <w:vertAlign w:val="baseline"/>
                <w:lang w:val="az-Latn-AZ"/>
              </w:rPr>
              <w:t>with Marine IACS Class certificate STD</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51.03101-6774</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12</w:t>
            </w:r>
          </w:p>
        </w:tc>
      </w:tr>
      <w:tr w:rsidR="00EF608B" w:rsidRPr="00121647" w:rsidTr="000B64BA">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Valve stem seal</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51.04902-0028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50</w:t>
            </w:r>
          </w:p>
        </w:tc>
      </w:tr>
      <w:tr w:rsidR="00EF608B" w:rsidRPr="00121647" w:rsidTr="000B64BA">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X</w:t>
            </w:r>
            <w:proofErr w:type="spellStart"/>
            <w:r w:rsidRPr="00121647">
              <w:rPr>
                <w:rFonts w:ascii="Palatino Linotype" w:hAnsi="Palatino Linotype" w:cs="Calibri"/>
                <w:sz w:val="18"/>
                <w:szCs w:val="18"/>
                <w:vertAlign w:val="baseline"/>
              </w:rPr>
              <w:t>aric</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edici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Exhaust valve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51.04101-0501</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EF608B" w:rsidRPr="00121647" w:rsidTr="000B64BA">
        <w:trPr>
          <w:trHeight w:hRule="exact" w:val="28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S</w:t>
            </w:r>
            <w:proofErr w:type="spellStart"/>
            <w:r w:rsidRPr="00121647">
              <w:rPr>
                <w:rFonts w:ascii="Palatino Linotype" w:hAnsi="Palatino Linotype" w:cs="Calibri"/>
                <w:sz w:val="18"/>
                <w:szCs w:val="18"/>
                <w:vertAlign w:val="baseline"/>
              </w:rPr>
              <w:t>ov</w:t>
            </w:r>
            <w:proofErr w:type="spellEnd"/>
            <w:r w:rsidRPr="00121647">
              <w:rPr>
                <w:rFonts w:ascii="Palatino Linotype" w:hAnsi="Palatino Linotype" w:cs="Calibri"/>
                <w:sz w:val="18"/>
                <w:szCs w:val="18"/>
                <w:vertAlign w:val="baseline"/>
                <w:lang w:val="az-Latn-AZ"/>
              </w:rPr>
              <w:t>u</w:t>
            </w:r>
            <w:proofErr w:type="spellStart"/>
            <w:r w:rsidRPr="00121647">
              <w:rPr>
                <w:rFonts w:ascii="Palatino Linotype" w:hAnsi="Palatino Linotype" w:cs="Calibri"/>
                <w:sz w:val="18"/>
                <w:szCs w:val="18"/>
                <w:vertAlign w:val="baseline"/>
              </w:rPr>
              <w:t>rucu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Inlet valve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51.04101-0509</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EF608B" w:rsidRPr="00121647" w:rsidTr="000B64BA">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Y</w:t>
            </w:r>
            <w:proofErr w:type="spellStart"/>
            <w:r w:rsidRPr="00121647">
              <w:rPr>
                <w:rFonts w:ascii="Palatino Linotype" w:hAnsi="Palatino Linotype" w:cs="Calibri"/>
                <w:sz w:val="18"/>
                <w:szCs w:val="18"/>
                <w:vertAlign w:val="baseline"/>
              </w:rPr>
              <w:t>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yığımda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Oil pump complete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51.05101-6008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EF608B" w:rsidRPr="00121647" w:rsidTr="000B64BA">
        <w:trPr>
          <w:trHeight w:hRule="exact" w:val="2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Yağ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radiatoru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Oil cooler</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EF608B" w:rsidRPr="00121647" w:rsidTr="000B64BA">
        <w:trPr>
          <w:trHeight w:hRule="exact" w:val="27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S</w:t>
            </w:r>
            <w:r w:rsidRPr="00121647">
              <w:rPr>
                <w:rFonts w:ascii="Palatino Linotype" w:hAnsi="Palatino Linotype" w:cs="Calibri"/>
                <w:sz w:val="18"/>
                <w:szCs w:val="18"/>
                <w:vertAlign w:val="baseline"/>
              </w:rPr>
              <w:t xml:space="preserve">u </w:t>
            </w:r>
            <w:proofErr w:type="spellStart"/>
            <w:r w:rsidRPr="00121647">
              <w:rPr>
                <w:rFonts w:ascii="Palatino Linotype" w:hAnsi="Palatino Linotype" w:cs="Calibri"/>
                <w:sz w:val="18"/>
                <w:szCs w:val="18"/>
                <w:vertAlign w:val="baseline"/>
              </w:rPr>
              <w:t>nasosunun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təmir</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dəsti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Coolant pump repair set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51.06500-6526</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Tahoma"/>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4</w:t>
            </w:r>
          </w:p>
        </w:tc>
      </w:tr>
      <w:tr w:rsidR="00EF608B" w:rsidRPr="00121647" w:rsidTr="000B64BA">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Y</w:t>
            </w:r>
            <w:proofErr w:type="spellStart"/>
            <w:r w:rsidRPr="00121647">
              <w:rPr>
                <w:rFonts w:ascii="Palatino Linotype" w:hAnsi="Palatino Linotype" w:cs="Calibri"/>
                <w:sz w:val="18"/>
                <w:szCs w:val="18"/>
                <w:vertAlign w:val="baseline"/>
              </w:rPr>
              <w:t>üksək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təzyiqli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yanacaq</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borusu</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Injection pipe set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51.10303-6104</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Tahoma"/>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4</w:t>
            </w:r>
          </w:p>
        </w:tc>
      </w:tr>
      <w:tr w:rsidR="00EF608B" w:rsidRPr="00121647" w:rsidTr="000B64BA">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Yanacaq nasosu elektron aktuatorla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az-Latn-AZ"/>
              </w:rPr>
            </w:pPr>
            <w:r w:rsidRPr="00121647">
              <w:rPr>
                <w:rFonts w:ascii="Palatino Linotype" w:hAnsi="Palatino Linotype"/>
                <w:color w:val="000000"/>
                <w:sz w:val="18"/>
                <w:szCs w:val="18"/>
                <w:vertAlign w:val="baseline"/>
                <w:lang w:val="az-Latn-AZ"/>
              </w:rPr>
              <w:t>Fuel pump with electron drive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51,11103-7711</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nil"/>
              <w:left w:val="single" w:sz="4" w:space="0" w:color="auto"/>
              <w:bottom w:val="nil"/>
              <w:right w:val="nil"/>
            </w:tcBorders>
            <w:shd w:val="clear" w:color="auto" w:fill="auto"/>
            <w:vAlign w:val="center"/>
          </w:tcPr>
          <w:p w:rsidR="00EF608B" w:rsidRPr="00121647" w:rsidRDefault="00EF608B" w:rsidP="000B64BA">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soyuducusu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puçok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elementi</w:t>
            </w:r>
            <w:proofErr w:type="spellEnd"/>
          </w:p>
        </w:tc>
        <w:tc>
          <w:tcPr>
            <w:tcW w:w="2732" w:type="dxa"/>
            <w:gridSpan w:val="2"/>
            <w:tcBorders>
              <w:top w:val="nil"/>
              <w:left w:val="single" w:sz="4" w:space="0" w:color="auto"/>
              <w:bottom w:val="nil"/>
              <w:right w:val="single" w:sz="4" w:space="0" w:color="auto"/>
            </w:tcBorders>
            <w:shd w:val="clear" w:color="auto" w:fill="auto"/>
            <w:vAlign w:val="center"/>
          </w:tcPr>
          <w:p w:rsidR="00EF608B" w:rsidRPr="00121647" w:rsidRDefault="00EF608B" w:rsidP="000B64BA">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Water cooler element</w:t>
            </w:r>
          </w:p>
        </w:tc>
        <w:tc>
          <w:tcPr>
            <w:tcW w:w="1314" w:type="dxa"/>
            <w:tcBorders>
              <w:top w:val="nil"/>
              <w:left w:val="nil"/>
              <w:bottom w:val="nil"/>
              <w:right w:val="nil"/>
            </w:tcBorders>
            <w:shd w:val="clear" w:color="auto" w:fill="auto"/>
            <w:vAlign w:val="center"/>
          </w:tcPr>
          <w:p w:rsidR="00EF608B" w:rsidRPr="00121647" w:rsidRDefault="00EF608B" w:rsidP="000B64BA">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50.06109-0009</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nil"/>
              <w:right w:val="single" w:sz="4" w:space="0" w:color="auto"/>
            </w:tcBorders>
            <w:shd w:val="clear" w:color="auto" w:fill="auto"/>
            <w:vAlign w:val="center"/>
          </w:tcPr>
          <w:p w:rsidR="00EF608B" w:rsidRPr="00121647" w:rsidRDefault="00EF608B" w:rsidP="000B64BA">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EF608B" w:rsidRPr="00945FBE" w:rsidTr="000B64BA">
        <w:trPr>
          <w:trHeight w:hRule="exact" w:val="278"/>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en-US"/>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“Bərdə</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“Barda</w:t>
            </w:r>
            <w:r w:rsidRPr="00FE6B18">
              <w:rPr>
                <w:rFonts w:ascii="Palatino Linotype" w:hAnsi="Palatino Linotype" w:cs="Tahoma"/>
                <w:b/>
                <w:color w:val="000000"/>
                <w:sz w:val="20"/>
                <w:szCs w:val="18"/>
                <w:vertAlign w:val="baseline"/>
                <w:lang w:val="az-Latn-AZ"/>
              </w:rPr>
              <w:t>”</w:t>
            </w:r>
            <w:r w:rsidRPr="00FE6B18">
              <w:rPr>
                <w:rFonts w:ascii="Palatino Linotype" w:hAnsi="Palatino Linotype" w:cs="Tahoma"/>
                <w:color w:val="000000"/>
                <w:sz w:val="20"/>
                <w:szCs w:val="18"/>
                <w:vertAlign w:val="baseline"/>
                <w:lang w:val="az-Latn-AZ"/>
              </w:rPr>
              <w:t xml:space="preserve"> </w:t>
            </w:r>
          </w:p>
        </w:tc>
      </w:tr>
      <w:tr w:rsidR="00EF608B" w:rsidRPr="00945FBE" w:rsidTr="000B64BA">
        <w:trPr>
          <w:trHeight w:hRule="exact" w:val="278"/>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en-US"/>
              </w:rPr>
            </w:pPr>
            <w:r w:rsidRPr="00121647">
              <w:rPr>
                <w:rFonts w:ascii="Palatino Linotype" w:hAnsi="Palatino Linotype"/>
                <w:b/>
                <w:sz w:val="20"/>
                <w:vertAlign w:val="baseline"/>
                <w:lang w:val="az-Latn-AZ"/>
              </w:rPr>
              <w:t>Köməkçi mühərrik/auxiliary engine: MAN D2876LE301</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Forsunka</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 xml:space="preserve">Injector complete </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51.10100-7407</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Püskürücü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Nozzle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51.10102-0244</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EF608B" w:rsidRPr="00121647" w:rsidTr="000B64BA">
        <w:trPr>
          <w:trHeight w:hRule="exact" w:val="60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Silindir oymağı,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6"/>
                <w:szCs w:val="18"/>
                <w:vertAlign w:val="baseline"/>
                <w:lang w:val="en-US"/>
              </w:rPr>
            </w:pPr>
            <w:r w:rsidRPr="00121647">
              <w:rPr>
                <w:rFonts w:ascii="Palatino Linotype" w:hAnsi="Palatino Linotype"/>
                <w:color w:val="000000"/>
                <w:sz w:val="16"/>
                <w:szCs w:val="18"/>
                <w:vertAlign w:val="baseline"/>
                <w:lang w:val="en-US"/>
              </w:rPr>
              <w:t>CYLINDER LINER, with Marine IACS Class certificate STD</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51.01201-0468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Maxovikin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dişli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ötürücüsü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Starting sprocket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51.02310-0097</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EF608B" w:rsidRPr="00121647" w:rsidTr="000B64BA">
        <w:trPr>
          <w:trHeight w:hRule="exact" w:val="57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Porşen,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 xml:space="preserve">Piston, with Marine IACS Class certificate STD </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51.025200-6015</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12</w:t>
            </w:r>
          </w:p>
        </w:tc>
      </w:tr>
      <w:tr w:rsidR="00EF608B" w:rsidRPr="00121647" w:rsidTr="000B64BA">
        <w:trPr>
          <w:trHeight w:hRule="exact" w:val="5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Matıl yastığı,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proofErr w:type="spellStart"/>
            <w:r w:rsidRPr="00121647">
              <w:rPr>
                <w:rFonts w:ascii="Palatino Linotype" w:hAnsi="Palatino Linotype"/>
                <w:color w:val="000000"/>
                <w:sz w:val="18"/>
                <w:szCs w:val="18"/>
                <w:vertAlign w:val="baseline"/>
                <w:lang w:val="en-US"/>
              </w:rPr>
              <w:t>Conrod</w:t>
            </w:r>
            <w:proofErr w:type="spellEnd"/>
            <w:r w:rsidRPr="00121647">
              <w:rPr>
                <w:rFonts w:ascii="Palatino Linotype" w:hAnsi="Palatino Linotype"/>
                <w:color w:val="000000"/>
                <w:sz w:val="18"/>
                <w:szCs w:val="18"/>
                <w:vertAlign w:val="baseline"/>
                <w:lang w:val="en-US"/>
              </w:rPr>
              <w:t xml:space="preserve"> bearing, with Marine IACS Class certificate STD </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51.02410-6632</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EF608B" w:rsidRPr="00121647" w:rsidTr="000B64BA">
        <w:trPr>
          <w:trHeight w:hRule="exact" w:val="5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Rama yastığı,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Main bearing, with Marine IACS Class certificate STD</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51.01113-6066</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28</w:t>
            </w:r>
          </w:p>
        </w:tc>
      </w:tr>
      <w:tr w:rsidR="00EF608B" w:rsidRPr="00121647" w:rsidTr="000B64BA">
        <w:trPr>
          <w:trHeight w:hRule="exact" w:val="54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Silindr qapağı,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Cylinder cover, with Marine IACS Class certificate STD</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51.03101-6774</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12</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Valve stem seal</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51.04902-0028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50</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Xaric</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edici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Exhaust valve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51.04101-0501</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Sovurucu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Inlet valve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51.04101-0509</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yığımda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Oil pump complete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51.05101-6008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radiatoru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Oil cooler</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nasosunun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təmir</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dəsti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Coolant pump repair set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51.06500-6526</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4</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Yüksək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təzyiqli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yanacaq</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borusu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Injection pipe set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51.10303-6104</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4</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33</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Yanacaq</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elektron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aktuatorla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Fuel pump with electron drive</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51,11103-7711</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EF608B" w:rsidRPr="00121647" w:rsidTr="000B64B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34</w:t>
            </w:r>
          </w:p>
        </w:tc>
        <w:tc>
          <w:tcPr>
            <w:tcW w:w="3409" w:type="dxa"/>
            <w:gridSpan w:val="2"/>
            <w:tcBorders>
              <w:top w:val="nil"/>
              <w:left w:val="single" w:sz="4" w:space="0" w:color="auto"/>
              <w:bottom w:val="single" w:sz="4" w:space="0" w:color="auto"/>
              <w:right w:val="nil"/>
            </w:tcBorders>
            <w:shd w:val="clear" w:color="auto" w:fill="auto"/>
            <w:vAlign w:val="center"/>
          </w:tcPr>
          <w:p w:rsidR="00EF608B" w:rsidRPr="00121647" w:rsidRDefault="00EF608B" w:rsidP="000B64BA">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soyuducusu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puçok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elementi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Water cooler element</w:t>
            </w:r>
          </w:p>
        </w:tc>
        <w:tc>
          <w:tcPr>
            <w:tcW w:w="1314" w:type="dxa"/>
            <w:tcBorders>
              <w:top w:val="nil"/>
              <w:left w:val="nil"/>
              <w:bottom w:val="single" w:sz="4" w:space="0" w:color="auto"/>
              <w:right w:val="nil"/>
            </w:tcBorders>
            <w:shd w:val="clear" w:color="auto" w:fill="auto"/>
            <w:vAlign w:val="center"/>
          </w:tcPr>
          <w:p w:rsidR="00EF608B" w:rsidRPr="00121647" w:rsidRDefault="00EF608B" w:rsidP="000B64BA">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50.06109-0009</w:t>
            </w:r>
          </w:p>
        </w:tc>
        <w:tc>
          <w:tcPr>
            <w:tcW w:w="1249" w:type="dxa"/>
            <w:tcBorders>
              <w:top w:val="single" w:sz="4" w:space="0" w:color="auto"/>
              <w:left w:val="single" w:sz="4" w:space="0" w:color="auto"/>
              <w:bottom w:val="single" w:sz="4" w:space="0" w:color="auto"/>
              <w:right w:val="single" w:sz="4" w:space="0" w:color="auto"/>
            </w:tcBorders>
          </w:tcPr>
          <w:p w:rsidR="00EF608B" w:rsidRPr="00121647" w:rsidRDefault="00EF608B" w:rsidP="000B64BA">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EF608B" w:rsidRPr="00121647" w:rsidRDefault="00EF608B" w:rsidP="000B64BA">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bl>
    <w:p w:rsidR="00EF608B" w:rsidRDefault="00EF608B"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577AC9" w:rsidRPr="00717C9F" w:rsidRDefault="00EF608B" w:rsidP="00577AC9">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 xml:space="preserve">Tahir </w:t>
      </w:r>
      <w:proofErr w:type="spellStart"/>
      <w:r>
        <w:rPr>
          <w:rFonts w:ascii="Arial" w:eastAsia="Arial" w:hAnsi="Arial" w:cs="Arial"/>
          <w:b/>
          <w:sz w:val="22"/>
          <w:szCs w:val="22"/>
          <w:vertAlign w:val="baseline"/>
          <w:lang w:val="en-US"/>
        </w:rPr>
        <w:t>Seyidov</w:t>
      </w:r>
      <w:proofErr w:type="spellEnd"/>
      <w:r>
        <w:rPr>
          <w:rFonts w:ascii="Arial" w:eastAsia="Arial" w:hAnsi="Arial" w:cs="Arial"/>
          <w:b/>
          <w:bCs/>
          <w:sz w:val="22"/>
          <w:szCs w:val="22"/>
          <w:vertAlign w:val="baseline"/>
          <w:lang w:val="en-US"/>
        </w:rPr>
        <w:t>, Technical Operation department deputy head</w:t>
      </w:r>
      <w:r w:rsidR="00577AC9" w:rsidRPr="00717C9F">
        <w:rPr>
          <w:rFonts w:ascii="Arial" w:eastAsia="Arial" w:hAnsi="Arial" w:cs="Arial"/>
          <w:b/>
          <w:bCs/>
          <w:sz w:val="22"/>
          <w:szCs w:val="22"/>
          <w:vertAlign w:val="baseline"/>
          <w:lang w:val="en-US"/>
        </w:rPr>
        <w:t xml:space="preserve"> of the Fleet</w:t>
      </w:r>
      <w:r w:rsidR="00577AC9" w:rsidRPr="00717C9F">
        <w:rPr>
          <w:rFonts w:ascii="Arial" w:eastAsia="Arial" w:hAnsi="Arial" w:cs="Arial"/>
          <w:sz w:val="22"/>
          <w:szCs w:val="22"/>
          <w:vertAlign w:val="baseline"/>
          <w:lang w:val="en-US"/>
        </w:rPr>
        <w:t xml:space="preserve"> </w:t>
      </w:r>
    </w:p>
    <w:p w:rsidR="00577AC9" w:rsidRPr="00945FBE" w:rsidRDefault="00577AC9" w:rsidP="00577AC9">
      <w:pPr>
        <w:jc w:val="center"/>
        <w:rPr>
          <w:rFonts w:ascii="Arial" w:hAnsi="Arial" w:cs="Arial"/>
          <w:b/>
          <w:sz w:val="32"/>
          <w:szCs w:val="32"/>
        </w:rPr>
      </w:pPr>
      <w:r>
        <w:rPr>
          <w:rFonts w:ascii="Arial" w:hAnsi="Arial" w:cs="Arial"/>
          <w:b/>
          <w:sz w:val="32"/>
          <w:szCs w:val="32"/>
          <w:lang w:val="az-Latn-AZ"/>
        </w:rPr>
        <w:t>Tel: (+994</w:t>
      </w:r>
      <w:r w:rsidR="00EF608B">
        <w:rPr>
          <w:rFonts w:ascii="Arial" w:hAnsi="Arial" w:cs="Arial"/>
          <w:b/>
          <w:sz w:val="32"/>
          <w:szCs w:val="32"/>
          <w:lang w:val="az-Latn-AZ"/>
        </w:rPr>
        <w:t>12) 404 37 00</w:t>
      </w:r>
      <w:r w:rsidR="00945FBE">
        <w:rPr>
          <w:rFonts w:ascii="Arial" w:hAnsi="Arial" w:cs="Arial"/>
          <w:b/>
          <w:sz w:val="32"/>
          <w:szCs w:val="32"/>
          <w:lang w:val="az-Latn-AZ"/>
        </w:rPr>
        <w:t xml:space="preserve"> / 21</w:t>
      </w:r>
      <w:r w:rsidR="00945FBE">
        <w:rPr>
          <w:rFonts w:ascii="Arial" w:hAnsi="Arial" w:cs="Arial"/>
          <w:b/>
          <w:sz w:val="32"/>
          <w:szCs w:val="32"/>
        </w:rPr>
        <w:t>82</w:t>
      </w:r>
      <w:bookmarkStart w:id="0" w:name="_GoBack"/>
      <w:bookmarkEnd w:id="0"/>
    </w:p>
    <w:p w:rsidR="00577AC9" w:rsidRPr="005E786D" w:rsidRDefault="00577AC9" w:rsidP="00577AC9">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00EF608B" w:rsidRPr="0040163E">
          <w:rPr>
            <w:rStyle w:val="Hyperlink"/>
            <w:rFonts w:ascii="Arial" w:hAnsi="Arial" w:cs="Arial"/>
            <w:b/>
            <w:sz w:val="32"/>
            <w:szCs w:val="32"/>
            <w:shd w:val="clear" w:color="auto" w:fill="FAFAFA"/>
            <w:lang w:val="az-Latn-AZ"/>
          </w:rPr>
          <w:t>tahir.seyidov@asco.az</w:t>
        </w:r>
      </w:hyperlink>
      <w:r w:rsidR="00EF608B">
        <w:rPr>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A2" w:rsidRDefault="00FC09A2" w:rsidP="005053B3">
      <w:r>
        <w:separator/>
      </w:r>
    </w:p>
  </w:endnote>
  <w:endnote w:type="continuationSeparator" w:id="0">
    <w:p w:rsidR="00FC09A2" w:rsidRDefault="00FC09A2"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A2" w:rsidRDefault="00FC09A2" w:rsidP="005053B3">
      <w:r>
        <w:separator/>
      </w:r>
    </w:p>
  </w:footnote>
  <w:footnote w:type="continuationSeparator" w:id="0">
    <w:p w:rsidR="00FC09A2" w:rsidRDefault="00FC09A2"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77AC9"/>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51A7"/>
    <w:rsid w:val="00A23CC5"/>
    <w:rsid w:val="00A260E6"/>
    <w:rsid w:val="00A35ED2"/>
    <w:rsid w:val="00A47D44"/>
    <w:rsid w:val="00A634CE"/>
    <w:rsid w:val="00A64C73"/>
    <w:rsid w:val="00A86A1B"/>
    <w:rsid w:val="00A9209E"/>
    <w:rsid w:val="00AA5AF6"/>
    <w:rsid w:val="00AD41A6"/>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FE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2023-02-01T11:21:00Z</dcterms:modified>
</cp:coreProperties>
</file>