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2543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ru-RU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89655" w14:textId="77777777" w:rsidR="00BF459E" w:rsidRDefault="00BF459E" w:rsidP="00BF459E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BF459E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ASCO-nun “Zığ” GTTZ (“Zığ” GTTZ, DND, İXİ və MMC-lərdə çalışan işçilər üçün), XDND və XDND-nin Qaradağ sahəsində yerləşən yeməkxanaları üçün iaşə xidmətlərinin satınalınmasının təxirə salınması səbəbindən İMT-01/2026 nömrəli </w:t>
      </w:r>
    </w:p>
    <w:p w14:paraId="56F011DE" w14:textId="7AFBE283" w:rsidR="00BF459E" w:rsidRPr="00BF459E" w:rsidRDefault="00BF459E" w:rsidP="00BF459E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BF459E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ikimərhələli tender müsabiqəsinin ləğv edilməsi </w:t>
      </w:r>
      <w:r w:rsidRPr="00BF459E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haqqında </w:t>
      </w:r>
    </w:p>
    <w:p w14:paraId="5320EFC4" w14:textId="623BAE5B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33383C" w14:paraId="5A8A6EA7" w14:textId="77777777" w:rsidTr="00AA0260">
        <w:trPr>
          <w:trHeight w:val="863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C1D5CC" w14:textId="65B46F4C" w:rsidR="009240EB" w:rsidRPr="00EB052F" w:rsidRDefault="0033383C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>
              <w:rPr>
                <w:rFonts w:ascii="Arial" w:hAnsi="Arial" w:cs="Arial"/>
                <w:b/>
                <w:lang w:val="az-Latn-AZ"/>
              </w:rPr>
              <w:t xml:space="preserve">Tenderin </w:t>
            </w:r>
            <w:r w:rsidR="009240EB" w:rsidRPr="00EB052F">
              <w:rPr>
                <w:rFonts w:ascii="Arial" w:hAnsi="Arial" w:cs="Arial"/>
                <w:b/>
                <w:lang w:val="az-Latn-AZ"/>
              </w:rPr>
              <w:t>predmet</w:t>
            </w:r>
            <w:r>
              <w:rPr>
                <w:rFonts w:ascii="Arial" w:hAnsi="Arial" w:cs="Arial"/>
                <w:b/>
                <w:lang w:val="az-Latn-AZ"/>
              </w:rPr>
              <w:t>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6AFBD41" w14:textId="77777777" w:rsidR="0033383C" w:rsidRDefault="0033383C" w:rsidP="00E3336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</w:p>
          <w:p w14:paraId="7533AD40" w14:textId="2F97846D" w:rsidR="009240EB" w:rsidRPr="00444380" w:rsidRDefault="0033383C" w:rsidP="00E3336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</w:t>
            </w:r>
            <w:r w:rsidRPr="0033383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aşə xidmətləri</w:t>
            </w:r>
          </w:p>
        </w:tc>
      </w:tr>
      <w:tr w:rsidR="009240EB" w:rsidRPr="00BF459E" w14:paraId="4B50E8D3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BC3E6FF" w14:textId="2A5E7324" w:rsidR="009240EB" w:rsidRPr="00EB052F" w:rsidRDefault="00BF459E" w:rsidP="00242620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b/>
                <w:lang w:val="az-Latn-AZ"/>
              </w:rPr>
              <w:t>Ləğvetmə haqqında məlumat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176F2E5" w14:textId="20B96E8B" w:rsidR="00AA0260" w:rsidRPr="001E587C" w:rsidRDefault="00BF459E" w:rsidP="0024262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/>
              </w:rPr>
              <w:t>ASCO-nun tabeliyindən olan qurumların işçiləri və aidiyyəti struktur bölmələrin əməkdaşları tərəfindən iaşə xidmətlərinin təşkili ilə əlaqədar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/>
              </w:rPr>
              <w:t xml:space="preserve"> təqdim olunmuş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/>
              </w:rPr>
              <w:t xml:space="preserve"> təkliflər əsasında müsabiqənin Əsas Şərtlər Toplusuna yenidən baxılması zərurəti müəyyən edilmiş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/>
              </w:rPr>
              <w:t>, habelə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/>
              </w:rPr>
              <w:t xml:space="preserve"> optimallaşdırılma çərçivəsində xidmətlər üzrə tələbatın həcmində də müəyyən dəyişikliklər gözlənildiyindən predmetin satınalmasının təxirə salınması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/>
              </w:rPr>
              <w:t>məqsədilə müsabiqənin ləğv edilməsi məqsədəuyğun hesab edilmişdir.</w:t>
            </w:r>
          </w:p>
        </w:tc>
      </w:tr>
    </w:tbl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05F34920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  <w:r w:rsidR="00BF459E">
        <w:rPr>
          <w:rFonts w:ascii="Arial" w:hAnsi="Arial" w:cs="Arial"/>
          <w:b/>
          <w:i/>
          <w:sz w:val="24"/>
          <w:szCs w:val="24"/>
          <w:lang w:val="az-Latn-AZ" w:eastAsia="ru-RU"/>
        </w:rPr>
        <w:t>ASCO-nun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 Komi</w:t>
      </w:r>
      <w:r w:rsidR="0033383C">
        <w:rPr>
          <w:rFonts w:ascii="Arial" w:hAnsi="Arial" w:cs="Arial"/>
          <w:b/>
          <w:i/>
          <w:sz w:val="24"/>
          <w:szCs w:val="24"/>
          <w:lang w:val="az-Latn-AZ" w:eastAsia="ru-RU"/>
        </w:rPr>
        <w:t>ssiyası</w:t>
      </w:r>
    </w:p>
    <w:p w14:paraId="27B5AF33" w14:textId="77777777" w:rsidR="00171B98" w:rsidRDefault="00171B98" w:rsidP="00171B98">
      <w:pPr>
        <w:spacing w:after="0" w:line="240" w:lineRule="auto"/>
        <w:ind w:left="4956" w:right="-589" w:firstLine="708"/>
        <w:rPr>
          <w:rFonts w:ascii="Arial" w:hAnsi="Arial" w:cs="Arial"/>
          <w:b/>
          <w:i/>
          <w:sz w:val="24"/>
          <w:szCs w:val="24"/>
          <w:lang w:val="az-Latn-AZ" w:eastAsia="ru-RU"/>
        </w:rPr>
      </w:pPr>
    </w:p>
    <w:p w14:paraId="78EEFCA6" w14:textId="2135CAE6" w:rsidR="00171B98" w:rsidRDefault="00171B98" w:rsidP="00171B98">
      <w:pPr>
        <w:spacing w:after="0" w:line="240" w:lineRule="auto"/>
        <w:ind w:left="4956" w:right="-589" w:firstLine="708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Protokol №14-5-3/3-3-52/2026 </w:t>
      </w:r>
    </w:p>
    <w:p w14:paraId="2BBEB09D" w14:textId="68CDAACA" w:rsidR="00171B98" w:rsidRDefault="00171B98" w:rsidP="00171B98">
      <w:pPr>
        <w:spacing w:after="0" w:line="240" w:lineRule="auto"/>
        <w:ind w:left="2124" w:right="-589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Tarix: 23.02.2026</w:t>
      </w:r>
    </w:p>
    <w:p w14:paraId="256C699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1C553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FF27FB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972216">
    <w:abstractNumId w:val="1"/>
  </w:num>
  <w:num w:numId="2" w16cid:durableId="5243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64656"/>
    <w:rsid w:val="000A06A4"/>
    <w:rsid w:val="000A121F"/>
    <w:rsid w:val="000C33DC"/>
    <w:rsid w:val="000F6C32"/>
    <w:rsid w:val="0010304C"/>
    <w:rsid w:val="001276E3"/>
    <w:rsid w:val="00165AC8"/>
    <w:rsid w:val="001669B5"/>
    <w:rsid w:val="00171B98"/>
    <w:rsid w:val="00175C3A"/>
    <w:rsid w:val="001810C3"/>
    <w:rsid w:val="00181B22"/>
    <w:rsid w:val="001C2737"/>
    <w:rsid w:val="001C66DB"/>
    <w:rsid w:val="001E0228"/>
    <w:rsid w:val="001E587C"/>
    <w:rsid w:val="001F493C"/>
    <w:rsid w:val="00242620"/>
    <w:rsid w:val="002526DD"/>
    <w:rsid w:val="00262477"/>
    <w:rsid w:val="00277FB9"/>
    <w:rsid w:val="00294024"/>
    <w:rsid w:val="002F2A07"/>
    <w:rsid w:val="002F2EB1"/>
    <w:rsid w:val="00304876"/>
    <w:rsid w:val="00305DB4"/>
    <w:rsid w:val="003101C8"/>
    <w:rsid w:val="00311D13"/>
    <w:rsid w:val="003263E4"/>
    <w:rsid w:val="0033383C"/>
    <w:rsid w:val="00357DA6"/>
    <w:rsid w:val="00395E7D"/>
    <w:rsid w:val="003B4968"/>
    <w:rsid w:val="003F06F5"/>
    <w:rsid w:val="00444380"/>
    <w:rsid w:val="004511C6"/>
    <w:rsid w:val="00472699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C3F18"/>
    <w:rsid w:val="005C62F0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1647B"/>
    <w:rsid w:val="0072209A"/>
    <w:rsid w:val="00730DEE"/>
    <w:rsid w:val="00743C68"/>
    <w:rsid w:val="00821AC6"/>
    <w:rsid w:val="00824D97"/>
    <w:rsid w:val="008756B8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0260"/>
    <w:rsid w:val="00AA1687"/>
    <w:rsid w:val="00AA4E48"/>
    <w:rsid w:val="00AD0187"/>
    <w:rsid w:val="00AE7EB7"/>
    <w:rsid w:val="00B21D30"/>
    <w:rsid w:val="00B51F18"/>
    <w:rsid w:val="00B55352"/>
    <w:rsid w:val="00B963DD"/>
    <w:rsid w:val="00B96ECA"/>
    <w:rsid w:val="00BD022B"/>
    <w:rsid w:val="00BF459E"/>
    <w:rsid w:val="00C0472E"/>
    <w:rsid w:val="00C05FCE"/>
    <w:rsid w:val="00C17489"/>
    <w:rsid w:val="00C22874"/>
    <w:rsid w:val="00C8518E"/>
    <w:rsid w:val="00CB4822"/>
    <w:rsid w:val="00CC21A4"/>
    <w:rsid w:val="00CE75F4"/>
    <w:rsid w:val="00D23285"/>
    <w:rsid w:val="00D919F0"/>
    <w:rsid w:val="00D957BD"/>
    <w:rsid w:val="00DC3AB7"/>
    <w:rsid w:val="00E31D97"/>
    <w:rsid w:val="00E32A14"/>
    <w:rsid w:val="00E3336C"/>
    <w:rsid w:val="00E37F7D"/>
    <w:rsid w:val="00E71116"/>
    <w:rsid w:val="00E7640F"/>
    <w:rsid w:val="00E948A3"/>
    <w:rsid w:val="00E95156"/>
    <w:rsid w:val="00EB0EA7"/>
    <w:rsid w:val="00EB714D"/>
    <w:rsid w:val="00F06D44"/>
    <w:rsid w:val="00F272BB"/>
    <w:rsid w:val="00F54052"/>
    <w:rsid w:val="00F54E21"/>
    <w:rsid w:val="00F722F5"/>
    <w:rsid w:val="00F761D4"/>
    <w:rsid w:val="00F80209"/>
    <w:rsid w:val="00FC7B3F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EB"/>
    <w:pPr>
      <w:spacing w:after="200" w:line="276" w:lineRule="auto"/>
    </w:pPr>
    <w:rPr>
      <w:rFonts w:eastAsia="MS Minch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8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basedOn w:val="DefaultParagraphFont"/>
    <w:rsid w:val="009240EB"/>
  </w:style>
  <w:style w:type="paragraph" w:styleId="ListParagraph">
    <w:name w:val="List Paragraph"/>
    <w:basedOn w:val="Normal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7CCF"/>
  </w:style>
  <w:style w:type="character" w:customStyle="1" w:styleId="Heading2Char">
    <w:name w:val="Heading 2 Char"/>
    <w:basedOn w:val="DefaultParagraphFont"/>
    <w:link w:val="Heading2"/>
    <w:uiPriority w:val="9"/>
    <w:semiHidden/>
    <w:rsid w:val="003338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75AC-D9B8-412B-894A-8BB16C7D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Raziya Huseynova</cp:lastModifiedBy>
  <cp:revision>115</cp:revision>
  <dcterms:created xsi:type="dcterms:W3CDTF">2017-01-25T14:10:00Z</dcterms:created>
  <dcterms:modified xsi:type="dcterms:W3CDTF">2026-02-23T08:59:00Z</dcterms:modified>
</cp:coreProperties>
</file>