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721F1EE2" w14:textId="64B5251D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6F03EE70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A3220A">
        <w:rPr>
          <w:rFonts w:ascii="Arial" w:hAnsi="Arial" w:cs="Arial"/>
          <w:b/>
          <w:sz w:val="24"/>
          <w:szCs w:val="24"/>
          <w:lang w:val="az-Latn-AZ"/>
        </w:rPr>
        <w:t>maqnit kompasların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720F2DD1" w14:textId="1A0FA18C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01</w:t>
      </w:r>
      <w:r w:rsidR="00A3220A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A3220A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3BCC72C0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3220A" w:rsidRP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2979DB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A3220A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775180CD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A3220A" w:rsidRP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ödənişsiz</w:t>
            </w:r>
            <w:r w:rsidR="00A52307" w:rsidRP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3220A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lastRenderedPageBreak/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A3220A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B33FC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Malların tələbat yarandıqca alınması nəzərdə tutulur. Satınalma müqaviləsinin ASCO tərəfindən rəsmi sifariş (tələbat) daxil olduqdan sonra </w:t>
            </w:r>
            <w:r w:rsidR="00394F5D"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5 (beş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)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A3220A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4EA0672C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A3220A" w:rsidRP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3220A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  <w:bookmarkStart w:id="1" w:name="_GoBack"/>
        <w:bookmarkEnd w:id="1"/>
      </w:tr>
      <w:tr w:rsidR="00443961" w:rsidRPr="00A3220A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6785FB89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A322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3220A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145DBEA7" w:rsidR="007D0D58" w:rsidRDefault="007D0D58" w:rsidP="00AE5082">
      <w:pPr>
        <w:rPr>
          <w:lang w:val="az-Latn-AZ"/>
        </w:rPr>
      </w:pPr>
    </w:p>
    <w:p w14:paraId="6B67BC78" w14:textId="05B64374" w:rsidR="00A3220A" w:rsidRDefault="00A3220A" w:rsidP="00AE5082">
      <w:pPr>
        <w:rPr>
          <w:lang w:val="az-Latn-AZ"/>
        </w:rPr>
      </w:pPr>
    </w:p>
    <w:p w14:paraId="3C46765C" w14:textId="76376A41" w:rsidR="00A3220A" w:rsidRDefault="00A3220A" w:rsidP="00AE5082">
      <w:pPr>
        <w:rPr>
          <w:lang w:val="az-Latn-AZ"/>
        </w:rPr>
      </w:pPr>
    </w:p>
    <w:p w14:paraId="46F440B7" w14:textId="77777777" w:rsidR="00A3220A" w:rsidRDefault="00A3220A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3BF6CB88" w14:textId="77777777" w:rsidR="00A3220A" w:rsidRDefault="00A3220A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0DFE7F6" w14:textId="77777777" w:rsidR="00A3220A" w:rsidRDefault="00A3220A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05EAEF03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49"/>
        <w:gridCol w:w="1276"/>
        <w:gridCol w:w="1701"/>
      </w:tblGrid>
      <w:tr w:rsidR="00A3220A" w:rsidRPr="00275710" w14:paraId="3E3D8493" w14:textId="77777777" w:rsidTr="00386DD0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5319A3AF" w14:textId="77777777" w:rsidR="00A3220A" w:rsidRPr="00275710" w:rsidRDefault="00A3220A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9A9580E" w14:textId="77777777" w:rsidR="00A3220A" w:rsidRPr="00275710" w:rsidRDefault="00A3220A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Malın</w:t>
            </w:r>
            <w:proofErr w:type="spellEnd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adı</w:t>
            </w:r>
            <w:proofErr w:type="spellEnd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3BEA5" w14:textId="77777777" w:rsidR="00A3220A" w:rsidRPr="00275710" w:rsidRDefault="00A3220A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Miqdarı</w:t>
            </w:r>
            <w:proofErr w:type="spellEnd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58433" w14:textId="77777777" w:rsidR="00A3220A" w:rsidRPr="00275710" w:rsidRDefault="00A3220A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Ölcü</w:t>
            </w:r>
            <w:proofErr w:type="spellEnd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vahidi</w:t>
            </w:r>
            <w:proofErr w:type="spellEnd"/>
          </w:p>
        </w:tc>
      </w:tr>
      <w:tr w:rsidR="00A3220A" w:rsidRPr="00F94554" w14:paraId="5544233D" w14:textId="77777777" w:rsidTr="00386DD0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65147EC5" w14:textId="77777777" w:rsidR="00A3220A" w:rsidRPr="00F94554" w:rsidRDefault="00A3220A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F94554">
              <w:rPr>
                <w:rFonts w:ascii="Palatino Linotype" w:eastAsia="Times New Roman" w:hAnsi="Palatino Linotype"/>
                <w:bCs/>
                <w:lang w:val="az-Latn-AZ"/>
              </w:rPr>
              <w:t>1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E5035E3" w14:textId="77777777" w:rsidR="00A3220A" w:rsidRPr="00C75236" w:rsidRDefault="00A3220A" w:rsidP="00386DD0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Maqnit kompas SR-165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03C00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AB37A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F94554">
              <w:rPr>
                <w:rFonts w:ascii="Palatino Linotype" w:eastAsia="Times New Roman" w:hAnsi="Palatino Linotype"/>
                <w:bCs/>
                <w:lang w:val="az-Latn-AZ"/>
              </w:rPr>
              <w:t>ədəd</w:t>
            </w:r>
          </w:p>
        </w:tc>
      </w:tr>
      <w:tr w:rsidR="00A3220A" w:rsidRPr="00F94554" w14:paraId="66FF865A" w14:textId="77777777" w:rsidTr="00386DD0">
        <w:trPr>
          <w:trHeight w:val="267"/>
        </w:trPr>
        <w:tc>
          <w:tcPr>
            <w:tcW w:w="568" w:type="dxa"/>
            <w:shd w:val="clear" w:color="auto" w:fill="auto"/>
            <w:noWrap/>
            <w:vAlign w:val="center"/>
          </w:tcPr>
          <w:p w14:paraId="3208C5C9" w14:textId="77777777" w:rsidR="00A3220A" w:rsidRPr="00F94554" w:rsidRDefault="00A3220A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2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159875B5" w14:textId="77777777" w:rsidR="00A3220A" w:rsidRPr="00F94554" w:rsidRDefault="00A3220A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Ehtiyat kompas kasası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>,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 xml:space="preserve"> SR-165 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 xml:space="preserve">maqnit kompası 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üçün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85163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6F205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F94554">
              <w:rPr>
                <w:rFonts w:ascii="Palatino Linotype" w:eastAsia="Times New Roman" w:hAnsi="Palatino Linotype"/>
                <w:bCs/>
                <w:lang w:val="az-Latn-AZ"/>
              </w:rPr>
              <w:t>ədəd</w:t>
            </w:r>
          </w:p>
        </w:tc>
      </w:tr>
      <w:tr w:rsidR="00A3220A" w:rsidRPr="00F94554" w14:paraId="1D700A10" w14:textId="77777777" w:rsidTr="00386DD0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73D2110B" w14:textId="77777777" w:rsidR="00A3220A" w:rsidRPr="00F94554" w:rsidRDefault="00A3220A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3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5CE4D7D8" w14:textId="77777777" w:rsidR="00A3220A" w:rsidRPr="00C75236" w:rsidRDefault="00A3220A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Azimut  AD-02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 xml:space="preserve">, 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 xml:space="preserve">SR-165 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 xml:space="preserve">maqnit kompası 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üçün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95541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88C01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F94554">
              <w:rPr>
                <w:rFonts w:ascii="Palatino Linotype" w:eastAsia="Times New Roman" w:hAnsi="Palatino Linotype"/>
                <w:bCs/>
                <w:lang w:val="az-Latn-AZ"/>
              </w:rPr>
              <w:t>ədəd</w:t>
            </w:r>
          </w:p>
        </w:tc>
      </w:tr>
      <w:tr w:rsidR="00A3220A" w:rsidRPr="00F94554" w14:paraId="1AA17EE9" w14:textId="77777777" w:rsidTr="00386DD0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14:paraId="6E3EB97D" w14:textId="77777777" w:rsidR="00A3220A" w:rsidRPr="00F94554" w:rsidRDefault="00A3220A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4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775EDAA8" w14:textId="77777777" w:rsidR="00A3220A" w:rsidRPr="00C75236" w:rsidRDefault="00A3220A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TMD-SENSOR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>,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 xml:space="preserve"> SR-165 </w:t>
            </w:r>
            <w:r>
              <w:rPr>
                <w:rFonts w:ascii="Palatino Linotype" w:eastAsia="Times New Roman" w:hAnsi="Palatino Linotype"/>
                <w:bCs/>
                <w:lang w:val="az-Latn-AZ"/>
              </w:rPr>
              <w:t xml:space="preserve">maqnit kompası </w:t>
            </w:r>
            <w:r w:rsidRPr="00C75236">
              <w:rPr>
                <w:rFonts w:ascii="Palatino Linotype" w:eastAsia="Times New Roman" w:hAnsi="Palatino Linotype"/>
                <w:bCs/>
                <w:lang w:val="az-Latn-AZ"/>
              </w:rPr>
              <w:t>üçün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74EC1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Times New Roman" w:hAnsi="Palatino Linotype"/>
                <w:bCs/>
                <w:lang w:val="az-Latn-A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4EF00" w14:textId="77777777" w:rsidR="00A3220A" w:rsidRPr="00F94554" w:rsidRDefault="00A3220A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 w:rsidRPr="00F94554">
              <w:rPr>
                <w:rFonts w:ascii="Palatino Linotype" w:eastAsia="Times New Roman" w:hAnsi="Palatino Linotype"/>
                <w:bCs/>
                <w:lang w:val="az-Latn-AZ"/>
              </w:rPr>
              <w:t>ədəd</w:t>
            </w:r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3220A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E523-1E53-4DFF-BDA7-0A56099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4</cp:revision>
  <dcterms:created xsi:type="dcterms:W3CDTF">2022-01-17T13:24:00Z</dcterms:created>
  <dcterms:modified xsi:type="dcterms:W3CDTF">2022-02-01T06:21:00Z</dcterms:modified>
</cp:coreProperties>
</file>