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F5" w:rsidRDefault="007956F5" w:rsidP="007956F5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395958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974147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7956F5" w:rsidRDefault="00395958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7956F5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7956F5">
        <w:rPr>
          <w:rFonts w:ascii="Arial" w:eastAsia="Arial" w:hAnsi="Arial" w:cs="Arial"/>
          <w:b/>
          <w:sz w:val="24"/>
          <w:szCs w:val="24"/>
          <w:lang w:eastAsia="ru-RU"/>
        </w:rPr>
        <w:t>РСА НА ЗАКУПКУ РАДИОНАВИГАЦИОННОГО ОБОРУДОВАНИЯ ДЛЯ СУДОВ ЗАО "АКМП"</w:t>
      </w:r>
    </w:p>
    <w:p w:rsidR="007956F5" w:rsidRPr="007956F5" w:rsidRDefault="007956F5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7956F5" w:rsidRDefault="00395958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7956F5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№AM200/2022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14265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395958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39595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39595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39595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39595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39595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395958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</w:t>
            </w:r>
            <w:r w:rsidRPr="007956F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956F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03 декабря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395958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395958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14265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39595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395958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395958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(сто) АЗН.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AE5082" w:rsidRPr="00AA4FF9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39595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39595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14265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9595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9595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9595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14265" w:rsidRPr="007956F5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9595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39595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39595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39595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39595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39595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39595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56F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39595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395958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9595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56F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39595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56F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39595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56F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39595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56F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39595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56F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39595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56F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39595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7956F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Beneficiary:   AZARB.XAZAR DANIZ GAMICILIYI QSC</w:t>
                  </w:r>
                </w:p>
                <w:p w:rsidR="00AE5082" w:rsidRPr="007956F5" w:rsidRDefault="0039595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956F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7956F5" w:rsidRDefault="0039595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956F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9595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956F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</w:t>
                  </w:r>
                  <w:r w:rsidRPr="007956F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Main</w:t>
                  </w:r>
                </w:p>
                <w:p w:rsidR="00AE5082" w:rsidRPr="00E30035" w:rsidRDefault="0039595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956F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39595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956F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39595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956F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39595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956F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395958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7956F5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39595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7956F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Beneficiary: Azerbaijan Caspian Shipping CJSC</w:t>
                  </w:r>
                </w:p>
                <w:p w:rsidR="00AE5082" w:rsidRPr="007956F5" w:rsidRDefault="0039595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956F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</w:t>
                  </w:r>
                  <w:r w:rsidRPr="007956F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1579951</w:t>
                  </w:r>
                </w:p>
                <w:p w:rsidR="00AE5082" w:rsidRPr="007956F5" w:rsidRDefault="0039595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956F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395958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14265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AA4FF9" w:rsidRDefault="0039595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AA4FF9" w:rsidRDefault="0039595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AA4FF9" w:rsidRDefault="0039595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AE5082" w:rsidRPr="00AA4FF9" w:rsidRDefault="0039595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AE5082" w:rsidRPr="00AA4FF9" w:rsidRDefault="0039595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A52307" w:rsidRPr="00AA4FF9" w:rsidRDefault="00395958" w:rsidP="00AA4FF9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 % от закупочной цены.</w:t>
            </w:r>
          </w:p>
        </w:tc>
      </w:tr>
      <w:tr w:rsidR="00614265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39595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395958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7956F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956F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09 декабря 202</w:t>
            </w:r>
            <w:r w:rsidRPr="007956F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395958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1426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39595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395958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443961" w:rsidRPr="00E30035" w:rsidRDefault="00395958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39595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39595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395958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</w:t>
            </w:r>
            <w:r>
              <w:rPr>
                <w:rFonts w:ascii="Arial" w:eastAsia="Arial" w:hAnsi="Arial" w:cs="Arial"/>
                <w:sz w:val="20"/>
                <w:szCs w:val="20"/>
              </w:rPr>
              <w:t>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39595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395958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39595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426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39595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нкурсными предложениями :</w:t>
            </w:r>
          </w:p>
          <w:p w:rsidR="00443961" w:rsidRDefault="0039595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7956F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956F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09 декабря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395958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кого лица) и удостоверение личности не позднее, чем за полчаса до начала конкурса.</w:t>
            </w:r>
          </w:p>
        </w:tc>
      </w:tr>
      <w:tr w:rsidR="00614265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39595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39595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39595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39595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39595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39595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39595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39595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39595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39595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39595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>
        <w:rPr>
          <w:rFonts w:ascii="Arial" w:eastAsia="Arial" w:hAnsi="Arial" w:cs="Arial"/>
          <w:sz w:val="24"/>
          <w:szCs w:val="24"/>
        </w:rPr>
        <w:t xml:space="preserve">а], объявленном «АСКО» в связи с закупкой «__________». </w:t>
      </w:r>
    </w:p>
    <w:p w:rsidR="00993E0B" w:rsidRDefault="0039595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993E0B" w:rsidRDefault="0039595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395958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39595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Контактно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е лицо:  </w:t>
      </w:r>
    </w:p>
    <w:p w:rsidR="00923D30" w:rsidRDefault="0039595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39595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39595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395958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395958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Оригинал  банковского  документа об  оплате взноса за </w:t>
      </w:r>
      <w:r>
        <w:rPr>
          <w:rFonts w:ascii="Arial" w:eastAsia="Arial" w:hAnsi="Arial" w:cs="Arial"/>
          <w:i/>
          <w:iCs/>
          <w:sz w:val="24"/>
          <w:szCs w:val="24"/>
        </w:rPr>
        <w:t>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395958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39595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(Ф.И.О. уполномоченного лица) (подпись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</w:t>
      </w:r>
    </w:p>
    <w:p w:rsidR="00993E0B" w:rsidRDefault="0039595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39595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39595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Default="00395958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M.П.</w:t>
      </w:r>
    </w:p>
    <w:p w:rsidR="00AA4FF9" w:rsidRDefault="00AA4FF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D278C5" w:rsidRDefault="00395958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W w:w="9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5753"/>
        <w:gridCol w:w="1423"/>
        <w:gridCol w:w="1179"/>
        <w:gridCol w:w="1080"/>
      </w:tblGrid>
      <w:tr w:rsidR="00614265" w:rsidTr="00A95FBD">
        <w:trPr>
          <w:trHeight w:val="20"/>
        </w:trPr>
        <w:tc>
          <w:tcPr>
            <w:tcW w:w="442" w:type="dxa"/>
            <w:shd w:val="clear" w:color="000000" w:fill="FFFFFF"/>
            <w:vAlign w:val="center"/>
            <w:hideMark/>
          </w:tcPr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56F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450" w:type="dxa"/>
            <w:shd w:val="clear" w:color="000000" w:fill="FFFFFF"/>
            <w:vAlign w:val="center"/>
            <w:hideMark/>
          </w:tcPr>
          <w:p w:rsidR="00066DD3" w:rsidRPr="007956F5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5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Наименование товара  </w:t>
            </w:r>
          </w:p>
        </w:tc>
        <w:tc>
          <w:tcPr>
            <w:tcW w:w="1496" w:type="dxa"/>
            <w:shd w:val="clear" w:color="000000" w:fill="FFFFFF"/>
          </w:tcPr>
          <w:p w:rsidR="00066DD3" w:rsidRPr="007956F5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5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Код :</w:t>
            </w:r>
          </w:p>
        </w:tc>
        <w:tc>
          <w:tcPr>
            <w:tcW w:w="537" w:type="dxa"/>
            <w:shd w:val="clear" w:color="000000" w:fill="FFFFFF"/>
            <w:vAlign w:val="center"/>
            <w:hideMark/>
          </w:tcPr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5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6DD3" w:rsidRPr="007956F5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5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Единица измерения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shd w:val="clear" w:color="000000" w:fill="FFFFFF"/>
            <w:vAlign w:val="center"/>
            <w:hideMark/>
          </w:tcPr>
          <w:p w:rsidR="00066DD3" w:rsidRPr="00294D3F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50" w:type="dxa"/>
            <w:shd w:val="clear" w:color="000000" w:fill="FFFFFF"/>
            <w:vAlign w:val="center"/>
          </w:tcPr>
          <w:p w:rsidR="00066DD3" w:rsidRPr="00066DD3" w:rsidRDefault="00395958" w:rsidP="0006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Магнитный компас SR-165</w:t>
            </w:r>
          </w:p>
          <w:p w:rsidR="00066DD3" w:rsidRPr="007A50C4" w:rsidRDefault="00395958" w:rsidP="0006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комплект дополнительно входит:</w:t>
            </w:r>
          </w:p>
        </w:tc>
        <w:tc>
          <w:tcPr>
            <w:tcW w:w="1496" w:type="dxa"/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SR-165</w:t>
            </w:r>
          </w:p>
        </w:tc>
        <w:tc>
          <w:tcPr>
            <w:tcW w:w="537" w:type="dxa"/>
            <w:vMerge w:val="restart"/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2" w:type="dxa"/>
            <w:vMerge w:val="restart"/>
            <w:shd w:val="clear" w:color="000000" w:fill="FFFFFF"/>
            <w:vAlign w:val="center"/>
          </w:tcPr>
          <w:p w:rsidR="00066DD3" w:rsidRPr="007A50C4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shd w:val="clear" w:color="000000" w:fill="FFFFFF"/>
            <w:vAlign w:val="center"/>
          </w:tcPr>
          <w:p w:rsidR="00066DD3" w:rsidRPr="007A50C4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450" w:type="dxa"/>
            <w:shd w:val="clear" w:color="000000" w:fill="FFFFFF"/>
            <w:vAlign w:val="center"/>
          </w:tcPr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Запасной компас, в комплекте с коробкой для  магнитного компаса SR-165  </w:t>
            </w:r>
          </w:p>
        </w:tc>
        <w:tc>
          <w:tcPr>
            <w:tcW w:w="1496" w:type="dxa"/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SR-165</w:t>
            </w:r>
          </w:p>
        </w:tc>
        <w:tc>
          <w:tcPr>
            <w:tcW w:w="537" w:type="dxa"/>
            <w:vMerge/>
            <w:shd w:val="clear" w:color="000000" w:fill="FFFFFF"/>
            <w:vAlign w:val="center"/>
          </w:tcPr>
          <w:p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000000" w:fill="FFFFFF"/>
            <w:vAlign w:val="center"/>
          </w:tcPr>
          <w:p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</w:p>
        </w:tc>
      </w:tr>
      <w:tr w:rsidR="00614265" w:rsidTr="00A95FBD">
        <w:trPr>
          <w:trHeight w:val="20"/>
        </w:trPr>
        <w:tc>
          <w:tcPr>
            <w:tcW w:w="442" w:type="dxa"/>
            <w:shd w:val="clear" w:color="000000" w:fill="FFFFFF"/>
            <w:vAlign w:val="center"/>
          </w:tcPr>
          <w:p w:rsidR="00066DD3" w:rsidRPr="007A50C4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450" w:type="dxa"/>
            <w:shd w:val="clear" w:color="000000" w:fill="FFFFFF"/>
            <w:vAlign w:val="center"/>
          </w:tcPr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Азимут AD-02, для магнитного компаса SR-165  </w:t>
            </w:r>
          </w:p>
        </w:tc>
        <w:tc>
          <w:tcPr>
            <w:tcW w:w="1496" w:type="dxa"/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АД-02</w:t>
            </w:r>
          </w:p>
        </w:tc>
        <w:tc>
          <w:tcPr>
            <w:tcW w:w="537" w:type="dxa"/>
            <w:vMerge/>
            <w:shd w:val="clear" w:color="000000" w:fill="FFFFFF"/>
            <w:vAlign w:val="center"/>
          </w:tcPr>
          <w:p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000000" w:fill="FFFFFF"/>
            <w:vAlign w:val="center"/>
          </w:tcPr>
          <w:p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</w:p>
        </w:tc>
      </w:tr>
      <w:tr w:rsidR="00614265" w:rsidTr="00A95FBD">
        <w:trPr>
          <w:trHeight w:val="20"/>
        </w:trPr>
        <w:tc>
          <w:tcPr>
            <w:tcW w:w="442" w:type="dxa"/>
            <w:shd w:val="clear" w:color="000000" w:fill="FFFFFF"/>
            <w:vAlign w:val="center"/>
          </w:tcPr>
          <w:p w:rsidR="00066DD3" w:rsidRPr="007A50C4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450" w:type="dxa"/>
            <w:shd w:val="clear" w:color="000000" w:fill="FFFFFF"/>
            <w:vAlign w:val="center"/>
          </w:tcPr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Smart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Sensor, для магнитного компаса SR-165 </w:t>
            </w:r>
          </w:p>
        </w:tc>
        <w:tc>
          <w:tcPr>
            <w:tcW w:w="1496" w:type="dxa"/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SCP-NT</w:t>
            </w:r>
          </w:p>
        </w:tc>
        <w:tc>
          <w:tcPr>
            <w:tcW w:w="537" w:type="dxa"/>
            <w:vMerge/>
            <w:shd w:val="clear" w:color="000000" w:fill="FFFFFF"/>
            <w:vAlign w:val="center"/>
          </w:tcPr>
          <w:p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000000" w:fill="FFFFFF"/>
            <w:vAlign w:val="center"/>
          </w:tcPr>
          <w:p w:rsidR="00066DD3" w:rsidRPr="00294D3F" w:rsidRDefault="00066DD3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"Navmaster ECDIS 900L (одноместный), включая:</w:t>
            </w:r>
          </w:p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Программное обеспечение ECDIS, Windows 7 64-бит</w:t>
            </w:r>
          </w:p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Персональный компютер LGP36 монтируемый в кострукцию.</w:t>
            </w:r>
          </w:p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24-дюймовый дисплей с консольным креплением</w:t>
            </w:r>
          </w:p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Клавиатура и трекбол.</w:t>
            </w:r>
          </w:p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входов NMEA в блоке Breakout.</w:t>
            </w:r>
          </w:p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Итерфейс AIS, ARPA, Navtex и т.д.</w:t>
            </w:r>
          </w:p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Совместимость с ENC (S57), AVCS,</w:t>
            </w:r>
          </w:p>
          <w:p w:rsidR="00066DD3" w:rsidRPr="00294D3F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79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C-Map SENC, C-Map Pro, ARCS,- AIO''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ECDIS 900L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B1511D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B1511D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 BNWAS  BW-707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B1511D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БВ-707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B1511D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B1511D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Сейлор 6310 MF/HF 150W DSC Класс A (1-канальный дежурный приемник). Базовая система, включающая: Блок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управления Сейлор 6301 Класс A - 6 m 12 полярный Кабель POL CAN (CU-TU) - Сейлор 6365 MF / HF 150W Sailor 6384 Блок настройки антенны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6310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комплект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Принтер Сейлор H1252B/TT- Sailor 3608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H1252B / TT3608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комплект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Трубка</w:t>
            </w:r>
            <w:r w:rsidRPr="0079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6201 </w:t>
            </w:r>
            <w:r w:rsidRPr="0079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Pr="0079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Sailor VHF RT-6222)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Антенна CX-4-1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СХ-4-1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Лампа типа "гусиная шея"  4 x LED Белого цвета 29-204537-210 (прибор аварийного освещения для GMDS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 Sailor)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7956F5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Лампа типа "гусиная шея"  4 x LED 25В Белого цвета 29-204537-210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Аккумулятор B3504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(для УКВ SP-3540)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B3504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Аккумулятор</w:t>
            </w:r>
            <w:r w:rsidRPr="0079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B3502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Pr="0079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УКВ</w:t>
            </w:r>
            <w:r w:rsidRPr="0079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Sailor SP3520)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B3502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Коаксиальный кабель RG-214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RG-214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метр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Соединитель PL-259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 259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Регистратор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данных VDR HLD -600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VDR HLD-600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комплект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Процессорный блок HLD-OPU 600 (для черного ящика HLD-600)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HLD-OPU 600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294D3F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7956F5" w:rsidRDefault="00395958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Интерфейсная плата PCB 138-118 для гирокомпаса Standard ST-22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PCB 138-118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7956F5" w:rsidRDefault="00395958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Интерфейсная плата PCB 138-118 - 101 для гирокомпаса Standard ST-22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PCB 138-118-101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7956F5" w:rsidRDefault="00395958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 блока питания гирокомпаса типа Стандарт-22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NB06-288.00-008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 блока управления чувствительным элементом гирокомпаса Standart-22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NB06-283.00-008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Ремонтный комплект (жидкость) для  Standard 22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Комплект жидкости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Ремонтный комплект (жидкость) для Navigat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Комплект жидкости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7956F5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 SPG 110 - 233 x 12 для гирокомпаса Standard ST-22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110 - 233 x 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</w:t>
            </w:r>
            <w:r w:rsidRPr="0079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Anschluss - PCB 110 - 233 x 13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Pr="0079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гирокомпаса</w:t>
            </w:r>
            <w:r w:rsidRPr="0079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Standard ST-22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110 - 233 x 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</w:t>
            </w:r>
            <w:r w:rsidRPr="0079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Sensor-PCB 110 - 233 x 11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Pr="0079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гирокомпаса</w:t>
            </w:r>
            <w:r w:rsidRPr="0079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Standard ST-22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110 - 233 x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Плата Pampe 110 - 231 - 40 для гирокомпаса Standard ST-22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110-231-40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7956F5" w:rsidRDefault="00395958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Плата блока управления NB06-288.00-008 для гирокомпаса Standard ST-22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NB06-288.00-008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7956F5" w:rsidRDefault="00395958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 блока управления NB06-283.00-008  чувствительным элементом гирокомпаса Standart-22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NB06-283.00-008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A95F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Гиросфера (гирокомпас Standart 22)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111-006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C454F0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635689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Распредилитель MTND-102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635689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MTND-102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  <w:tr w:rsidR="00614265" w:rsidTr="00A95FBD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086DC3" w:rsidRDefault="00395958" w:rsidP="00066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Зарядочное устройство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Pr="00086DC3" w:rsidRDefault="00395958" w:rsidP="00A9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MTCH-105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DD3" w:rsidRDefault="00395958" w:rsidP="00066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</w:tr>
    </w:tbl>
    <w:p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066DD3" w:rsidRDefault="00066DD3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CC2B16" w:rsidRPr="00F07413" w:rsidRDefault="00395958" w:rsidP="007956F5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предлагаемого оборудования, технические характеристики, чертежи и сертификаты.</w:t>
      </w:r>
    </w:p>
    <w:p w:rsidR="00CC2B16" w:rsidRPr="00F07413" w:rsidRDefault="00395958" w:rsidP="007956F5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Оборудование должно быть новым. Неполные предложения не принимаются.</w:t>
      </w:r>
    </w:p>
    <w:p w:rsidR="00BB33FC" w:rsidRPr="00F07413" w:rsidRDefault="00395958" w:rsidP="007956F5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Оборудование должно  быть морско</w:t>
      </w:r>
      <w:r>
        <w:rPr>
          <w:rFonts w:ascii="Arial" w:eastAsia="Arial" w:hAnsi="Arial" w:cs="Arial"/>
          <w:bCs/>
        </w:rPr>
        <w:t>го (судового) назначения и поставляется сертификатом Общества морской классификации.</w:t>
      </w:r>
    </w:p>
    <w:p w:rsidR="00CC2B16" w:rsidRPr="002A111E" w:rsidRDefault="00395958" w:rsidP="007956F5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 Договор закупок б</w:t>
      </w:r>
      <w:r>
        <w:rPr>
          <w:rFonts w:ascii="Arial" w:eastAsia="Arial" w:hAnsi="Arial" w:cs="Arial"/>
          <w:bCs/>
        </w:rPr>
        <w:t>удет заключаться только в азербайджанских манатах, другие условия не принимаются.</w:t>
      </w:r>
    </w:p>
    <w:p w:rsidR="00CC2B16" w:rsidRPr="002A111E" w:rsidRDefault="00395958" w:rsidP="007956F5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BA441E" w:rsidRDefault="00BA441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:rsidR="00993E0B" w:rsidRPr="00993E0B" w:rsidRDefault="00395958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395958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</w:t>
      </w:r>
      <w:r>
        <w:rPr>
          <w:rFonts w:ascii="Arial" w:eastAsia="Arial" w:hAnsi="Arial" w:cs="Arial"/>
          <w:sz w:val="20"/>
          <w:szCs w:val="20"/>
        </w:rPr>
        <w:t>щие документы:</w:t>
      </w:r>
    </w:p>
    <w:p w:rsidR="00993E0B" w:rsidRPr="00993E0B" w:rsidRDefault="00395958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395958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</w:t>
      </w:r>
      <w:r>
        <w:rPr>
          <w:rFonts w:ascii="Arial" w:eastAsia="Arial" w:hAnsi="Arial" w:cs="Arial"/>
          <w:sz w:val="20"/>
          <w:szCs w:val="20"/>
        </w:rPr>
        <w:t>идических лиц (выданная в течение последнего 1 месяца)</w:t>
      </w:r>
    </w:p>
    <w:p w:rsidR="00993E0B" w:rsidRPr="00993E0B" w:rsidRDefault="00395958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395958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7956F5" w:rsidRDefault="007956F5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</w:t>
      </w:r>
      <w:r w:rsidR="00395958">
        <w:rPr>
          <w:rFonts w:ascii="Arial" w:eastAsia="Arial" w:hAnsi="Arial" w:cs="Arial"/>
          <w:sz w:val="20"/>
          <w:szCs w:val="20"/>
        </w:rPr>
        <w:t>баланс бухгалтерского учета или налоговая декларация (в зависимости от системы налогообло</w:t>
      </w:r>
      <w:r w:rsidR="00395958">
        <w:rPr>
          <w:rFonts w:ascii="Arial" w:eastAsia="Arial" w:hAnsi="Arial" w:cs="Arial"/>
          <w:sz w:val="20"/>
          <w:szCs w:val="20"/>
        </w:rPr>
        <w:t xml:space="preserve">жения) / справка на отсутствие налоговой задолженности в органах налогообложения </w:t>
      </w:r>
    </w:p>
    <w:p w:rsidR="00993E0B" w:rsidRPr="00993E0B" w:rsidRDefault="00395958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7956F5" w:rsidRDefault="00395958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7956F5" w:rsidRDefault="00993E0B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E0B" w:rsidRPr="007956F5" w:rsidRDefault="00395958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r w:rsidR="007956F5">
        <w:rPr>
          <w:rFonts w:ascii="Arial" w:eastAsia="Arial" w:hAnsi="Arial" w:cs="Arial"/>
          <w:sz w:val="20"/>
          <w:szCs w:val="20"/>
        </w:rPr>
        <w:t xml:space="preserve">с </w:t>
      </w:r>
      <w:r>
        <w:rPr>
          <w:rFonts w:ascii="Arial" w:eastAsia="Arial" w:hAnsi="Arial" w:cs="Arial"/>
          <w:sz w:val="20"/>
          <w:szCs w:val="20"/>
        </w:rPr>
        <w:t>к</w:t>
      </w:r>
      <w:r w:rsidR="007956F5">
        <w:rPr>
          <w:rFonts w:ascii="Arial" w:eastAsia="Arial" w:hAnsi="Arial" w:cs="Arial"/>
          <w:sz w:val="20"/>
          <w:szCs w:val="20"/>
        </w:rPr>
        <w:t>о</w:t>
      </w:r>
      <w:r>
        <w:rPr>
          <w:rFonts w:ascii="Arial" w:eastAsia="Arial" w:hAnsi="Arial" w:cs="Arial"/>
          <w:sz w:val="20"/>
          <w:szCs w:val="20"/>
        </w:rPr>
        <w:t>мпаниями которые не предоставляли указанные д</w:t>
      </w:r>
      <w:r>
        <w:rPr>
          <w:rFonts w:ascii="Arial" w:eastAsia="Arial" w:hAnsi="Arial" w:cs="Arial"/>
          <w:sz w:val="20"/>
          <w:szCs w:val="20"/>
        </w:rPr>
        <w:t xml:space="preserve">окументы и не получили позитивную оценку по результатам процедуры проверки и они будут исключены из конкурса!  </w:t>
      </w:r>
      <w:bookmarkStart w:id="0" w:name="_GoBack"/>
      <w:bookmarkEnd w:id="0"/>
    </w:p>
    <w:sectPr w:rsidR="00993E0B" w:rsidRPr="007956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958" w:rsidRDefault="00395958" w:rsidP="007A2A1A">
      <w:pPr>
        <w:spacing w:after="0" w:line="240" w:lineRule="auto"/>
      </w:pPr>
      <w:r>
        <w:separator/>
      </w:r>
    </w:p>
  </w:endnote>
  <w:endnote w:type="continuationSeparator" w:id="0">
    <w:p w:rsidR="00395958" w:rsidRDefault="00395958" w:rsidP="007A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A1A" w:rsidRDefault="007A2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A1A" w:rsidRDefault="007A2A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A1A" w:rsidRDefault="007A2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958" w:rsidRDefault="00395958" w:rsidP="007A2A1A">
      <w:pPr>
        <w:spacing w:after="0" w:line="240" w:lineRule="auto"/>
      </w:pPr>
      <w:r>
        <w:separator/>
      </w:r>
    </w:p>
  </w:footnote>
  <w:footnote w:type="continuationSeparator" w:id="0">
    <w:p w:rsidR="00395958" w:rsidRDefault="00395958" w:rsidP="007A2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A1A" w:rsidRDefault="007A2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A1A" w:rsidRDefault="007A2A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A1A" w:rsidRDefault="007A2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62ECE3E">
      <w:start w:val="1"/>
      <w:numFmt w:val="decimal"/>
      <w:lvlText w:val="%1."/>
      <w:lvlJc w:val="left"/>
      <w:pPr>
        <w:ind w:left="360" w:hanging="360"/>
      </w:pPr>
    </w:lvl>
    <w:lvl w:ilvl="1" w:tplc="A08A7AC0">
      <w:start w:val="1"/>
      <w:numFmt w:val="lowerLetter"/>
      <w:lvlText w:val="%2."/>
      <w:lvlJc w:val="left"/>
      <w:pPr>
        <w:ind w:left="1080" w:hanging="360"/>
      </w:pPr>
    </w:lvl>
    <w:lvl w:ilvl="2" w:tplc="9532415A">
      <w:start w:val="1"/>
      <w:numFmt w:val="lowerRoman"/>
      <w:lvlText w:val="%3."/>
      <w:lvlJc w:val="right"/>
      <w:pPr>
        <w:ind w:left="1800" w:hanging="180"/>
      </w:pPr>
    </w:lvl>
    <w:lvl w:ilvl="3" w:tplc="8AA669CA">
      <w:start w:val="1"/>
      <w:numFmt w:val="decimal"/>
      <w:lvlText w:val="%4."/>
      <w:lvlJc w:val="left"/>
      <w:pPr>
        <w:ind w:left="2520" w:hanging="360"/>
      </w:pPr>
    </w:lvl>
    <w:lvl w:ilvl="4" w:tplc="D6809FBE">
      <w:start w:val="1"/>
      <w:numFmt w:val="lowerLetter"/>
      <w:lvlText w:val="%5."/>
      <w:lvlJc w:val="left"/>
      <w:pPr>
        <w:ind w:left="3240" w:hanging="360"/>
      </w:pPr>
    </w:lvl>
    <w:lvl w:ilvl="5" w:tplc="C9A8E6CA">
      <w:start w:val="1"/>
      <w:numFmt w:val="lowerRoman"/>
      <w:lvlText w:val="%6."/>
      <w:lvlJc w:val="right"/>
      <w:pPr>
        <w:ind w:left="3960" w:hanging="180"/>
      </w:pPr>
    </w:lvl>
    <w:lvl w:ilvl="6" w:tplc="66787DD6">
      <w:start w:val="1"/>
      <w:numFmt w:val="decimal"/>
      <w:lvlText w:val="%7."/>
      <w:lvlJc w:val="left"/>
      <w:pPr>
        <w:ind w:left="4680" w:hanging="360"/>
      </w:pPr>
    </w:lvl>
    <w:lvl w:ilvl="7" w:tplc="E4288694">
      <w:start w:val="1"/>
      <w:numFmt w:val="lowerLetter"/>
      <w:lvlText w:val="%8."/>
      <w:lvlJc w:val="left"/>
      <w:pPr>
        <w:ind w:left="5400" w:hanging="360"/>
      </w:pPr>
    </w:lvl>
    <w:lvl w:ilvl="8" w:tplc="50926EA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C0C27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C14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729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AF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236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4C9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EF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A90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742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7C207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1067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45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EC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CA1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83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2F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05D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6C5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FD009DC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8D0AE0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42A379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F06FD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1F66DFF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8EACD55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C8F8892C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E02EFB1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3C866C9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0F63CA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FBA3D8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778D50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BE16D54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D7CEB8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45AF11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690B9D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DAC610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CE8984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0AE7748">
      <w:start w:val="1"/>
      <w:numFmt w:val="upperRoman"/>
      <w:lvlText w:val="%1."/>
      <w:lvlJc w:val="right"/>
      <w:pPr>
        <w:ind w:left="720" w:hanging="360"/>
      </w:pPr>
    </w:lvl>
    <w:lvl w:ilvl="1" w:tplc="804A0AA0">
      <w:start w:val="1"/>
      <w:numFmt w:val="lowerLetter"/>
      <w:lvlText w:val="%2."/>
      <w:lvlJc w:val="left"/>
      <w:pPr>
        <w:ind w:left="1440" w:hanging="360"/>
      </w:pPr>
    </w:lvl>
    <w:lvl w:ilvl="2" w:tplc="F98E8288">
      <w:start w:val="1"/>
      <w:numFmt w:val="lowerRoman"/>
      <w:lvlText w:val="%3."/>
      <w:lvlJc w:val="right"/>
      <w:pPr>
        <w:ind w:left="2160" w:hanging="180"/>
      </w:pPr>
    </w:lvl>
    <w:lvl w:ilvl="3" w:tplc="FEE2D262">
      <w:start w:val="1"/>
      <w:numFmt w:val="decimal"/>
      <w:lvlText w:val="%4."/>
      <w:lvlJc w:val="left"/>
      <w:pPr>
        <w:ind w:left="2880" w:hanging="360"/>
      </w:pPr>
    </w:lvl>
    <w:lvl w:ilvl="4" w:tplc="6F42D28C">
      <w:start w:val="1"/>
      <w:numFmt w:val="lowerLetter"/>
      <w:lvlText w:val="%5."/>
      <w:lvlJc w:val="left"/>
      <w:pPr>
        <w:ind w:left="3600" w:hanging="360"/>
      </w:pPr>
    </w:lvl>
    <w:lvl w:ilvl="5" w:tplc="E3282B7E">
      <w:start w:val="1"/>
      <w:numFmt w:val="lowerRoman"/>
      <w:lvlText w:val="%6."/>
      <w:lvlJc w:val="right"/>
      <w:pPr>
        <w:ind w:left="4320" w:hanging="180"/>
      </w:pPr>
    </w:lvl>
    <w:lvl w:ilvl="6" w:tplc="FAEAA490">
      <w:start w:val="1"/>
      <w:numFmt w:val="decimal"/>
      <w:lvlText w:val="%7."/>
      <w:lvlJc w:val="left"/>
      <w:pPr>
        <w:ind w:left="5040" w:hanging="360"/>
      </w:pPr>
    </w:lvl>
    <w:lvl w:ilvl="7" w:tplc="C0CCFBF4">
      <w:start w:val="1"/>
      <w:numFmt w:val="lowerLetter"/>
      <w:lvlText w:val="%8."/>
      <w:lvlJc w:val="left"/>
      <w:pPr>
        <w:ind w:left="5760" w:hanging="360"/>
      </w:pPr>
    </w:lvl>
    <w:lvl w:ilvl="8" w:tplc="6CA8E7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2708DA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C6ED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6AC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A4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8AC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C4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CB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861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E7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96C458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FE9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90D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A5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47D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E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CB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405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F27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81BED96C">
      <w:start w:val="1"/>
      <w:numFmt w:val="decimal"/>
      <w:lvlText w:val="%1."/>
      <w:lvlJc w:val="left"/>
      <w:pPr>
        <w:ind w:left="720" w:hanging="360"/>
      </w:pPr>
    </w:lvl>
    <w:lvl w:ilvl="1" w:tplc="80E2ECAA">
      <w:start w:val="1"/>
      <w:numFmt w:val="lowerLetter"/>
      <w:lvlText w:val="%2."/>
      <w:lvlJc w:val="left"/>
      <w:pPr>
        <w:ind w:left="1440" w:hanging="360"/>
      </w:pPr>
    </w:lvl>
    <w:lvl w:ilvl="2" w:tplc="C2F6D6FE">
      <w:start w:val="1"/>
      <w:numFmt w:val="lowerRoman"/>
      <w:lvlText w:val="%3."/>
      <w:lvlJc w:val="right"/>
      <w:pPr>
        <w:ind w:left="2160" w:hanging="180"/>
      </w:pPr>
    </w:lvl>
    <w:lvl w:ilvl="3" w:tplc="615C70A0">
      <w:start w:val="1"/>
      <w:numFmt w:val="decimal"/>
      <w:lvlText w:val="%4."/>
      <w:lvlJc w:val="left"/>
      <w:pPr>
        <w:ind w:left="2880" w:hanging="360"/>
      </w:pPr>
    </w:lvl>
    <w:lvl w:ilvl="4" w:tplc="1B4EE514">
      <w:start w:val="1"/>
      <w:numFmt w:val="lowerLetter"/>
      <w:lvlText w:val="%5."/>
      <w:lvlJc w:val="left"/>
      <w:pPr>
        <w:ind w:left="3600" w:hanging="360"/>
      </w:pPr>
    </w:lvl>
    <w:lvl w:ilvl="5" w:tplc="C19E5BD6">
      <w:start w:val="1"/>
      <w:numFmt w:val="lowerRoman"/>
      <w:lvlText w:val="%6."/>
      <w:lvlJc w:val="right"/>
      <w:pPr>
        <w:ind w:left="4320" w:hanging="180"/>
      </w:pPr>
    </w:lvl>
    <w:lvl w:ilvl="6" w:tplc="BB2C1C92">
      <w:start w:val="1"/>
      <w:numFmt w:val="decimal"/>
      <w:lvlText w:val="%7."/>
      <w:lvlJc w:val="left"/>
      <w:pPr>
        <w:ind w:left="5040" w:hanging="360"/>
      </w:pPr>
    </w:lvl>
    <w:lvl w:ilvl="7" w:tplc="5E9AC6C0">
      <w:start w:val="1"/>
      <w:numFmt w:val="lowerLetter"/>
      <w:lvlText w:val="%8."/>
      <w:lvlJc w:val="left"/>
      <w:pPr>
        <w:ind w:left="5760" w:hanging="360"/>
      </w:pPr>
    </w:lvl>
    <w:lvl w:ilvl="8" w:tplc="697E6E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6DD3"/>
    <w:rsid w:val="00067611"/>
    <w:rsid w:val="000844E8"/>
    <w:rsid w:val="00086DC3"/>
    <w:rsid w:val="000B0C78"/>
    <w:rsid w:val="000B7B42"/>
    <w:rsid w:val="000D291C"/>
    <w:rsid w:val="000F79B8"/>
    <w:rsid w:val="00100063"/>
    <w:rsid w:val="00105198"/>
    <w:rsid w:val="001A5938"/>
    <w:rsid w:val="001A678A"/>
    <w:rsid w:val="001B6AE7"/>
    <w:rsid w:val="001C59F8"/>
    <w:rsid w:val="001E08AF"/>
    <w:rsid w:val="00231BEE"/>
    <w:rsid w:val="00251AA5"/>
    <w:rsid w:val="00277F70"/>
    <w:rsid w:val="00286E90"/>
    <w:rsid w:val="00294D3F"/>
    <w:rsid w:val="002979DB"/>
    <w:rsid w:val="002A111E"/>
    <w:rsid w:val="002B013F"/>
    <w:rsid w:val="002F7C2A"/>
    <w:rsid w:val="003313D7"/>
    <w:rsid w:val="00335809"/>
    <w:rsid w:val="00345068"/>
    <w:rsid w:val="00364E05"/>
    <w:rsid w:val="00373399"/>
    <w:rsid w:val="003843FE"/>
    <w:rsid w:val="00394F5D"/>
    <w:rsid w:val="00395958"/>
    <w:rsid w:val="003A2F6A"/>
    <w:rsid w:val="003C0C06"/>
    <w:rsid w:val="00400A1D"/>
    <w:rsid w:val="00424B27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5E700F"/>
    <w:rsid w:val="0060168D"/>
    <w:rsid w:val="00606A67"/>
    <w:rsid w:val="00614265"/>
    <w:rsid w:val="00635689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8668D"/>
    <w:rsid w:val="007956F5"/>
    <w:rsid w:val="007A2A1A"/>
    <w:rsid w:val="007A50C4"/>
    <w:rsid w:val="007D0D58"/>
    <w:rsid w:val="00805A86"/>
    <w:rsid w:val="008175EE"/>
    <w:rsid w:val="00842727"/>
    <w:rsid w:val="008530EB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95FBD"/>
    <w:rsid w:val="00AA4FF9"/>
    <w:rsid w:val="00AD7798"/>
    <w:rsid w:val="00AE5082"/>
    <w:rsid w:val="00B05019"/>
    <w:rsid w:val="00B1511D"/>
    <w:rsid w:val="00B36FA0"/>
    <w:rsid w:val="00B64945"/>
    <w:rsid w:val="00B67192"/>
    <w:rsid w:val="00B67542"/>
    <w:rsid w:val="00B97CAB"/>
    <w:rsid w:val="00BA441E"/>
    <w:rsid w:val="00BB33FC"/>
    <w:rsid w:val="00C243D3"/>
    <w:rsid w:val="00C3033D"/>
    <w:rsid w:val="00C454F0"/>
    <w:rsid w:val="00CB0B1E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0035"/>
    <w:rsid w:val="00E3338C"/>
    <w:rsid w:val="00E56453"/>
    <w:rsid w:val="00E5774B"/>
    <w:rsid w:val="00E66F3B"/>
    <w:rsid w:val="00EB36FA"/>
    <w:rsid w:val="00EB4E07"/>
    <w:rsid w:val="00EF6050"/>
    <w:rsid w:val="00F07413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3B2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7A2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A1A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7A2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A1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0046C-0FC6-4E74-8CEB-289C699D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1898</Words>
  <Characters>10824</Characters>
  <Application>Microsoft Office Word</Application>
  <DocSecurity>0</DocSecurity>
  <Lines>90</Lines>
  <Paragraphs>25</Paragraphs>
  <ScaleCrop>false</ScaleCrop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2022-11-29T08:01:00Z</dcterms:created>
  <dcterms:modified xsi:type="dcterms:W3CDTF">2022-11-29T08:01:00Z</dcterms:modified>
</cp:coreProperties>
</file>