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826B4B" w:rsidRDefault="00EC719C" w:rsidP="00162A7E">
      <w:pPr>
        <w:jc w:val="center"/>
        <w:rPr>
          <w:rFonts w:ascii="Arial" w:hAnsi="Arial" w:cs="Arial"/>
          <w:b/>
          <w:color w:val="000000"/>
          <w:szCs w:val="24"/>
          <w:lang w:val="az-Latn-AZ"/>
        </w:rPr>
      </w:pPr>
      <w:r w:rsidRPr="00826B4B">
        <w:rPr>
          <w:rFonts w:ascii="Arial" w:eastAsia="Arial" w:hAnsi="Arial" w:cs="Arial"/>
          <w:b/>
          <w:color w:val="000000"/>
          <w:szCs w:val="24"/>
        </w:rPr>
        <w:t>ИЗВЕЩЕНИЕ О ПОБЕД</w:t>
      </w:r>
      <w:r w:rsidR="00826B4B" w:rsidRPr="00826B4B">
        <w:rPr>
          <w:rFonts w:ascii="Arial" w:eastAsia="Arial" w:hAnsi="Arial" w:cs="Arial"/>
          <w:b/>
          <w:color w:val="000000"/>
          <w:szCs w:val="24"/>
        </w:rPr>
        <w:t>ИТЕЛЕ ОТКРЫТОГО КОНКУРСА № AM150</w:t>
      </w:r>
      <w:r w:rsidRPr="00826B4B">
        <w:rPr>
          <w:rFonts w:ascii="Arial" w:eastAsia="Arial" w:hAnsi="Arial" w:cs="Arial"/>
          <w:b/>
          <w:color w:val="000000"/>
          <w:szCs w:val="24"/>
        </w:rPr>
        <w:t>/2022 ПРОВЕДЕННОГО ЗАКРЫТЫМ АКЦИОНЕРНОМ ОБЩЕСТВОМ «КА</w:t>
      </w:r>
      <w:r w:rsidR="00971E5F" w:rsidRPr="00826B4B">
        <w:rPr>
          <w:rFonts w:ascii="Arial" w:eastAsia="Arial" w:hAnsi="Arial" w:cs="Arial"/>
          <w:b/>
          <w:color w:val="000000"/>
          <w:szCs w:val="24"/>
        </w:rPr>
        <w:t>СПИЙСКОЕ МОРСКОЕ ПАРОХОДСТВО» 08.09</w:t>
      </w:r>
      <w:r w:rsidRPr="00826B4B">
        <w:rPr>
          <w:rFonts w:ascii="Arial" w:eastAsia="Arial" w:hAnsi="Arial" w:cs="Arial"/>
          <w:b/>
          <w:color w:val="000000"/>
          <w:szCs w:val="24"/>
        </w:rPr>
        <w:t>.2022 г</w:t>
      </w:r>
      <w:r w:rsidR="00CA38F5" w:rsidRPr="00826B4B">
        <w:rPr>
          <w:rFonts w:ascii="Arial" w:eastAsia="Arial" w:hAnsi="Arial" w:cs="Arial"/>
          <w:b/>
          <w:color w:val="000000"/>
          <w:szCs w:val="24"/>
        </w:rPr>
        <w:t>. НА ЗАКУПКУ зап</w:t>
      </w:r>
      <w:r w:rsidR="00971E5F" w:rsidRPr="00826B4B">
        <w:rPr>
          <w:rFonts w:ascii="Arial" w:eastAsia="Arial" w:hAnsi="Arial" w:cs="Arial"/>
          <w:b/>
          <w:color w:val="000000"/>
          <w:szCs w:val="24"/>
        </w:rPr>
        <w:t>асны</w:t>
      </w:r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х частей для дизельного генератора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WD615C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M.Сулейманов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Baudouin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6M33CD575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Туркан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главного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Jinan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C6190ZLC2-3 судна “MПК-474”,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WP4CD66E200 судна “Геофизик” ,дизельного генератора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WP2. 3CD33E200 судна “Гарадаг-10”,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Гарадаг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WP10CD200E200150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Г.Халилбейли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 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Mустафа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Али”, главного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Jinan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8190 ZLC/L6190 судна “Шеки”,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И.Сафарли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Н.Нариманов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”, вспомогательного двигателя 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Weichai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 xml:space="preserve"> WP10CD200E200 судна “</w:t>
      </w:r>
      <w:proofErr w:type="spellStart"/>
      <w:r w:rsidR="00826B4B" w:rsidRPr="00826B4B">
        <w:rPr>
          <w:rFonts w:ascii="Arial" w:eastAsia="Arial" w:hAnsi="Arial" w:cs="Arial"/>
          <w:b/>
          <w:color w:val="000000"/>
          <w:szCs w:val="24"/>
        </w:rPr>
        <w:t>Г.Гаджиев</w:t>
      </w:r>
      <w:proofErr w:type="spellEnd"/>
      <w:r w:rsidR="00826B4B" w:rsidRPr="00826B4B">
        <w:rPr>
          <w:rFonts w:ascii="Arial" w:eastAsia="Arial" w:hAnsi="Arial" w:cs="Arial"/>
          <w:b/>
          <w:color w:val="000000"/>
          <w:szCs w:val="24"/>
        </w:rPr>
        <w:t>”, находящихся</w:t>
      </w:r>
      <w:r w:rsidR="00CA38F5" w:rsidRPr="00826B4B">
        <w:rPr>
          <w:rFonts w:ascii="Arial" w:eastAsia="Arial" w:hAnsi="Arial" w:cs="Arial"/>
          <w:b/>
          <w:color w:val="000000"/>
          <w:szCs w:val="24"/>
        </w:rPr>
        <w:t xml:space="preserve">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RPr="00826B4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26B4B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826B4B">
              <w:rPr>
                <w:rFonts w:ascii="Arial" w:eastAsia="Arial" w:hAnsi="Arial" w:cs="Arial"/>
                <w:b/>
                <w:sz w:val="20"/>
                <w:szCs w:val="24"/>
                <w:lang w:val="az-Latn-AZ"/>
              </w:rPr>
              <w:t xml:space="preserve">Закупка </w:t>
            </w:r>
            <w:r w:rsidR="00971E5F" w:rsidRPr="00826B4B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az-Latn-AZ"/>
              </w:rPr>
              <w:t>запасны</w:t>
            </w:r>
            <w:r w:rsidR="00826B4B" w:rsidRPr="00826B4B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az-Latn-AZ"/>
              </w:rPr>
              <w:t>х частей для запасных частей для дизельного генератора Weichai WD615C судна “M.Сулейманов”, двигателя Weichai Baudouin 6M33CD575 судна “Туркан”, главного двигателя Jinan C6190ZLC2-3 судна “MПК-474”, вспомогательного двигателя Weichai WP4CD66E200 судна “Геофизик” ,дизельного генератора Weichai WP2. 3CD33E200 судна “Гарадаг-10”, вспомогательного двигателя Weichai WP10CD200E200 суд</w:t>
            </w:r>
            <w:bookmarkStart w:id="0" w:name="_GoBack"/>
            <w:bookmarkEnd w:id="0"/>
            <w:r w:rsidR="00826B4B" w:rsidRPr="00826B4B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az-Latn-AZ"/>
              </w:rPr>
              <w:t>на “Гарадаг”, вспомогательного двигателя Weichai WP10CD200E200150 судна “Г.Халилбейли”, вспомогательного двигателя Weichai WP10CD200E200  судна “Mустафа Али”, главного двигателя Jinan 8190 ZLC/L6190 судна “Шеки”, вспомогательного двигателя Weichai WP10CD200E200 судна “И.Сафарли”, вспомогательного двигателя Weichai WP10CD200E200 судна “Н.Нариманов”, вспомогательного двигателя Weichai WP10CD200E200 судна “Г.Гаджиев”, находящихся</w:t>
            </w:r>
            <w:r w:rsidRPr="00826B4B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az-Latn-AZ"/>
              </w:rPr>
              <w:t xml:space="preserve"> на балансе компании</w:t>
            </w:r>
          </w:p>
        </w:tc>
      </w:tr>
      <w:tr w:rsidR="00B958E9" w:rsidTr="00826B4B">
        <w:trPr>
          <w:trHeight w:hRule="exact" w:val="105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ED6083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Neksus</w:t>
            </w:r>
            <w:proofErr w:type="spellEnd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Impeks</w:t>
            </w:r>
            <w:proofErr w:type="spellEnd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Petrol San. </w:t>
            </w:r>
            <w:proofErr w:type="spellStart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Ve</w:t>
            </w:r>
            <w:proofErr w:type="spellEnd"/>
            <w:r w:rsidRPr="00ED6083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. Tic. Ltd. Sti</w:t>
            </w:r>
          </w:p>
        </w:tc>
      </w:tr>
      <w:tr w:rsidR="00B958E9" w:rsidTr="00826B4B">
        <w:trPr>
          <w:trHeight w:hRule="exact" w:val="41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971E5F" w:rsidRDefault="00826B4B" w:rsidP="00826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7503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92 291.00 USD</w:t>
            </w:r>
          </w:p>
        </w:tc>
      </w:tr>
      <w:tr w:rsidR="00B958E9" w:rsidTr="00826B4B">
        <w:trPr>
          <w:trHeight w:hRule="exact" w:val="7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26B4B" w:rsidRDefault="00971E5F" w:rsidP="00826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4B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CIP </w:t>
            </w:r>
            <w:r w:rsidRPr="00826B4B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826B4B">
        <w:trPr>
          <w:trHeight w:hRule="exact" w:val="7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26B4B" w:rsidRDefault="00826B4B" w:rsidP="00826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90 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</w:t>
      </w: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60" w:rsidRDefault="00780B60" w:rsidP="002930C7">
      <w:pPr>
        <w:spacing w:after="0" w:line="240" w:lineRule="auto"/>
      </w:pPr>
      <w:r>
        <w:separator/>
      </w:r>
    </w:p>
  </w:endnote>
  <w:endnote w:type="continuationSeparator" w:id="0">
    <w:p w:rsidR="00780B60" w:rsidRDefault="00780B60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60" w:rsidRDefault="00780B60" w:rsidP="002930C7">
      <w:pPr>
        <w:spacing w:after="0" w:line="240" w:lineRule="auto"/>
      </w:pPr>
      <w:r>
        <w:separator/>
      </w:r>
    </w:p>
  </w:footnote>
  <w:footnote w:type="continuationSeparator" w:id="0">
    <w:p w:rsidR="00780B60" w:rsidRDefault="00780B60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6083"/>
    <w:rsid w:val="00F24167"/>
    <w:rsid w:val="00F24426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4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2022-10-12T08:43:00Z</dcterms:modified>
</cp:coreProperties>
</file>