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150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/2022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08.09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.2022 FOR THE PROCUR</w:t>
      </w:r>
      <w:r w:rsid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EMENT</w:t>
      </w:r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the spare parts for “</w:t>
      </w:r>
      <w:proofErr w:type="spellStart"/>
      <w:proofErr w:type="gram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M.Suleymanov</w:t>
      </w:r>
      <w:proofErr w:type="spellEnd"/>
      <w:proofErr w:type="gram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WD615C diesel generator, “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Turkan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Baudouin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6M33CD575 engine, “MPK-474” vessel Jinan C6190ZLC2-3 main engines, “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Geofizik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WP4CD66E200 auxiliary engines, “Qaradag-10”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WP2. 3CD33E200 diesel generator, “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Qaradag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WP10CD200E200 auxiliary engine, “</w:t>
      </w:r>
      <w:proofErr w:type="spellStart"/>
      <w:proofErr w:type="gram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Q.Xalilbeyli</w:t>
      </w:r>
      <w:proofErr w:type="spellEnd"/>
      <w:proofErr w:type="gram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WP10CD200E200150 auxiliary engine, “Mustafa Ali”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WP10CD200E200 auxiliary engine, “Sheki” vessel Jinan 8190 ZLC/L6190 main engines, “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I.Safarli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WP10CD200E200 auxiliary engines,  “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N.Narimanov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WP10CD200E200 auxiliary engine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və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“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Q.Hajiyev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 </w:t>
      </w:r>
      <w:proofErr w:type="spellStart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Weichai</w:t>
      </w:r>
      <w:proofErr w:type="spellEnd"/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WP10CD200E200 auxiliary engine</w:t>
      </w:r>
      <w:r w:rsid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 which are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on the balance sheet of company. 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E91D4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91D46" w:rsidRDefault="00E91D46" w:rsidP="004D6E4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Procurement of</w:t>
            </w:r>
            <w:r w:rsidR="004D6E4B"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</w:t>
            </w:r>
            <w:r w:rsidR="000A774C"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spare parts </w:t>
            </w:r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for “</w:t>
            </w:r>
            <w:proofErr w:type="spellStart"/>
            <w:proofErr w:type="gram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M.Suleymanov</w:t>
            </w:r>
            <w:proofErr w:type="spellEnd"/>
            <w:proofErr w:type="gram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WD615C diesel generator, “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Turkan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Baudouin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6M33CD575 engine, “MPK-474” vessel Jinan C6190ZLC2-3 main engines, “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Geofizik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” vessel </w:t>
            </w:r>
            <w:bookmarkStart w:id="0" w:name="_GoBack"/>
            <w:bookmarkEnd w:id="0"/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WP4CD66E200 auxiliary engines, “Qaradag-10”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WP2. 3CD33E200 diesel generator, “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Qaradag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WP10CD200E200 auxiliary engine, “</w:t>
            </w:r>
            <w:proofErr w:type="spellStart"/>
            <w:proofErr w:type="gram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Q.Xalilbeyli</w:t>
            </w:r>
            <w:proofErr w:type="spellEnd"/>
            <w:proofErr w:type="gram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WP10CD200E200150 auxiliary engine, “Mustafa Ali”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WP10CD200E200 auxiliary engine, “Sheki” vessel Jinan 8190 ZLC/L6190 main engines, “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I.Safarli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WP10CD200E200 auxiliary engines,  “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N.Narimanov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WP10CD200E200 auxiliary engine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və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“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Q.Hajiyev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” vessel </w:t>
            </w:r>
            <w:proofErr w:type="spellStart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>Weichai</w:t>
            </w:r>
            <w:proofErr w:type="spellEnd"/>
            <w:r w:rsidRPr="00E91D46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en-US"/>
              </w:rPr>
              <w:t xml:space="preserve"> WP10CD200E200 auxiliary engine, which are on the balance sheet of company.  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D825DE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 w:rsidRPr="00D825DE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Neksus</w:t>
            </w:r>
            <w:proofErr w:type="spellEnd"/>
            <w:r w:rsidRPr="00D825DE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25DE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Impeks</w:t>
            </w:r>
            <w:proofErr w:type="spellEnd"/>
            <w:r w:rsidRPr="00D825DE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Petrol San. </w:t>
            </w:r>
            <w:proofErr w:type="spellStart"/>
            <w:r w:rsidRPr="00D825DE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Ve</w:t>
            </w:r>
            <w:proofErr w:type="spellEnd"/>
            <w:r w:rsidRPr="00D825DE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. Tic. Ltd. </w:t>
            </w:r>
            <w:proofErr w:type="spellStart"/>
            <w:r w:rsidRPr="00D825DE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Sti</w:t>
            </w:r>
            <w:proofErr w:type="spellEnd"/>
          </w:p>
        </w:tc>
      </w:tr>
      <w:tr w:rsidR="002372F4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E91D46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7503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92 291.00 USD</w:t>
            </w:r>
          </w:p>
        </w:tc>
      </w:tr>
      <w:tr w:rsidR="002372F4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E91D46" w:rsidRDefault="000A774C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91D46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CIP Baku</w:t>
            </w:r>
          </w:p>
        </w:tc>
      </w:tr>
      <w:tr w:rsidR="002372F4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E91D46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90 days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F5" w:rsidRDefault="000845F5" w:rsidP="007B1858">
      <w:pPr>
        <w:spacing w:after="0" w:line="240" w:lineRule="auto"/>
      </w:pPr>
      <w:r>
        <w:separator/>
      </w:r>
    </w:p>
  </w:endnote>
  <w:endnote w:type="continuationSeparator" w:id="0">
    <w:p w:rsidR="000845F5" w:rsidRDefault="000845F5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F5" w:rsidRDefault="000845F5" w:rsidP="007B1858">
      <w:pPr>
        <w:spacing w:after="0" w:line="240" w:lineRule="auto"/>
      </w:pPr>
      <w:r>
        <w:separator/>
      </w:r>
    </w:p>
  </w:footnote>
  <w:footnote w:type="continuationSeparator" w:id="0">
    <w:p w:rsidR="000845F5" w:rsidRDefault="000845F5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E1438"/>
    <w:rsid w:val="006E5C3A"/>
    <w:rsid w:val="006F7793"/>
    <w:rsid w:val="0071647B"/>
    <w:rsid w:val="0072209A"/>
    <w:rsid w:val="0074207B"/>
    <w:rsid w:val="00743C68"/>
    <w:rsid w:val="007600B9"/>
    <w:rsid w:val="007B1858"/>
    <w:rsid w:val="00821AC6"/>
    <w:rsid w:val="00824D97"/>
    <w:rsid w:val="00880632"/>
    <w:rsid w:val="008A609E"/>
    <w:rsid w:val="008C644F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BE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2022-10-12T08:46:00Z</dcterms:modified>
</cp:coreProperties>
</file>