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D228D4">
        <w:rPr>
          <w:rFonts w:ascii="Arial" w:hAnsi="Arial" w:cs="Arial"/>
          <w:b/>
          <w:bCs/>
          <w:color w:val="000000"/>
          <w:sz w:val="24"/>
          <w:szCs w:val="24"/>
          <w:lang w:val="az-Latn-AZ"/>
        </w:rPr>
        <w:t>Fərdi mühafizə vasitələrinin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D228D4">
        <w:rPr>
          <w:rFonts w:ascii="Arial" w:hAnsi="Arial" w:cs="Arial"/>
          <w:b/>
          <w:sz w:val="24"/>
          <w:szCs w:val="24"/>
          <w:lang w:val="az-Latn-AZ" w:eastAsia="ru-RU"/>
        </w:rPr>
        <w:t>AM120</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4409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D228D4">
              <w:rPr>
                <w:rFonts w:ascii="Arial" w:hAnsi="Arial" w:cs="Arial"/>
                <w:sz w:val="20"/>
                <w:szCs w:val="20"/>
                <w:lang w:val="az-Latn-AZ" w:eastAsia="ru-RU"/>
              </w:rPr>
              <w:t>22</w:t>
            </w:r>
            <w:r w:rsidR="008A5641">
              <w:rPr>
                <w:rFonts w:ascii="Arial" w:hAnsi="Arial" w:cs="Arial"/>
                <w:sz w:val="20"/>
                <w:szCs w:val="20"/>
                <w:lang w:val="az-Latn-AZ" w:eastAsia="ru-RU"/>
              </w:rPr>
              <w:t xml:space="preserve"> sentyabr</w:t>
            </w:r>
            <w:r w:rsidR="009C5D46">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4409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335227">
              <w:rPr>
                <w:rFonts w:ascii="Arial" w:hAnsi="Arial" w:cs="Arial"/>
                <w:b/>
                <w:sz w:val="20"/>
                <w:szCs w:val="20"/>
                <w:lang w:val="az-Latn-AZ" w:eastAsia="ru-RU"/>
              </w:rPr>
              <w:t>Lot-1 Bu müsabiqə üçün iştirak haqqı nəzərdə tutulmayıb.  Lot-2 Bu müsabiqə üçün iştirak haqqı nəzərdə tutulmayıb. Lot 3-150 Azn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4409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C4409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D228D4">
              <w:rPr>
                <w:rFonts w:ascii="Arial" w:hAnsi="Arial" w:cs="Arial"/>
                <w:sz w:val="20"/>
                <w:szCs w:val="20"/>
                <w:lang w:val="az-Latn-AZ" w:eastAsia="ru-RU"/>
              </w:rPr>
              <w:t>02</w:t>
            </w:r>
            <w:r w:rsidR="00CD301A">
              <w:rPr>
                <w:rFonts w:ascii="Arial" w:hAnsi="Arial" w:cs="Arial"/>
                <w:sz w:val="20"/>
                <w:szCs w:val="20"/>
                <w:lang w:val="az-Latn-AZ" w:eastAsia="ru-RU"/>
              </w:rPr>
              <w:t xml:space="preserve"> </w:t>
            </w:r>
            <w:r w:rsidR="00D228D4">
              <w:rPr>
                <w:rFonts w:ascii="Arial" w:hAnsi="Arial" w:cs="Arial"/>
                <w:sz w:val="20"/>
                <w:szCs w:val="20"/>
                <w:lang w:val="az-Latn-AZ" w:eastAsia="ru-RU"/>
              </w:rPr>
              <w:t>oktyabr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4409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C4409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228D4">
              <w:rPr>
                <w:rFonts w:ascii="Arial" w:hAnsi="Arial" w:cs="Arial"/>
                <w:sz w:val="20"/>
                <w:szCs w:val="20"/>
                <w:lang w:val="az-Latn-AZ" w:eastAsia="ru-RU"/>
              </w:rPr>
              <w:t>03 oktyabr</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4409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C4409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a5"/>
        <w:tblW w:w="9918" w:type="dxa"/>
        <w:tblLook w:val="04A0" w:firstRow="1" w:lastRow="0" w:firstColumn="1" w:lastColumn="0" w:noHBand="0" w:noVBand="1"/>
      </w:tblPr>
      <w:tblGrid>
        <w:gridCol w:w="518"/>
        <w:gridCol w:w="5484"/>
        <w:gridCol w:w="1176"/>
        <w:gridCol w:w="766"/>
        <w:gridCol w:w="2180"/>
      </w:tblGrid>
      <w:tr w:rsidR="00335227" w:rsidRPr="00335227" w:rsidTr="00335227">
        <w:trPr>
          <w:trHeight w:val="1245"/>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lastRenderedPageBreak/>
              <w:t>№</w:t>
            </w:r>
          </w:p>
        </w:tc>
        <w:tc>
          <w:tcPr>
            <w:tcW w:w="5484" w:type="dxa"/>
            <w:hideMark/>
          </w:tcPr>
          <w:p w:rsidR="00335227" w:rsidRPr="00335227" w:rsidRDefault="00335227" w:rsidP="00335227">
            <w:pPr>
              <w:rPr>
                <w:rFonts w:ascii="Palatino Linotype" w:hAnsi="Palatino Linotype" w:cs="Arial"/>
                <w:b/>
                <w:bCs/>
                <w:lang w:val="en-US"/>
              </w:rPr>
            </w:pPr>
            <w:r w:rsidRPr="00335227">
              <w:rPr>
                <w:rFonts w:ascii="Palatino Linotype" w:hAnsi="Palatino Linotype" w:cs="Arial"/>
                <w:b/>
                <w:bCs/>
                <w:lang w:val="en-US"/>
              </w:rPr>
              <w:t xml:space="preserve">Mal-materialın adı    </w:t>
            </w:r>
          </w:p>
        </w:tc>
        <w:tc>
          <w:tcPr>
            <w:tcW w:w="1176" w:type="dxa"/>
            <w:hideMark/>
          </w:tcPr>
          <w:p w:rsidR="00335227" w:rsidRPr="00335227" w:rsidRDefault="00335227" w:rsidP="00335227">
            <w:pPr>
              <w:rPr>
                <w:rFonts w:ascii="Palatino Linotype" w:hAnsi="Palatino Linotype" w:cs="Arial"/>
                <w:b/>
                <w:bCs/>
                <w:lang w:val="en-US"/>
              </w:rPr>
            </w:pPr>
            <w:r w:rsidRPr="00335227">
              <w:rPr>
                <w:rFonts w:ascii="Palatino Linotype" w:hAnsi="Palatino Linotype" w:cs="Arial"/>
                <w:b/>
                <w:bCs/>
                <w:lang w:val="en-US"/>
              </w:rPr>
              <w:t xml:space="preserve">Ölçü vahidi </w:t>
            </w:r>
          </w:p>
        </w:tc>
        <w:tc>
          <w:tcPr>
            <w:tcW w:w="615" w:type="dxa"/>
            <w:vMerge w:val="restart"/>
            <w:hideMark/>
          </w:tcPr>
          <w:p w:rsidR="00335227" w:rsidRPr="00335227" w:rsidRDefault="00335227" w:rsidP="00335227">
            <w:pPr>
              <w:rPr>
                <w:rFonts w:ascii="Palatino Linotype" w:hAnsi="Palatino Linotype" w:cs="Arial"/>
                <w:b/>
                <w:bCs/>
              </w:rPr>
            </w:pPr>
            <w:r w:rsidRPr="00335227">
              <w:rPr>
                <w:rFonts w:ascii="Palatino Linotype" w:hAnsi="Palatino Linotype" w:cs="Arial"/>
                <w:b/>
                <w:bCs/>
              </w:rPr>
              <w:t>Cəmi</w:t>
            </w:r>
            <w:r w:rsidRPr="00335227">
              <w:rPr>
                <w:rFonts w:ascii="Palatino Linotype" w:hAnsi="Palatino Linotype" w:cs="Arial"/>
                <w:b/>
                <w:bCs/>
              </w:rPr>
              <w:br/>
            </w:r>
          </w:p>
        </w:tc>
        <w:tc>
          <w:tcPr>
            <w:tcW w:w="2208" w:type="dxa"/>
            <w:hideMark/>
          </w:tcPr>
          <w:p w:rsidR="00335227" w:rsidRPr="00335227" w:rsidRDefault="00335227" w:rsidP="00335227">
            <w:pPr>
              <w:rPr>
                <w:rFonts w:ascii="Palatino Linotype" w:hAnsi="Palatino Linotype" w:cs="Arial"/>
                <w:b/>
                <w:bCs/>
                <w:lang w:val="en-US"/>
              </w:rPr>
            </w:pPr>
            <w:r w:rsidRPr="00335227">
              <w:rPr>
                <w:rFonts w:ascii="Palatino Linotype" w:hAnsi="Palatino Linotype" w:cs="Arial"/>
                <w:b/>
                <w:bCs/>
                <w:lang w:val="en-US"/>
              </w:rPr>
              <w:t>Sertifikat  tələbi haqqında</w:t>
            </w:r>
          </w:p>
        </w:tc>
      </w:tr>
      <w:tr w:rsidR="00335227" w:rsidRPr="00C44096" w:rsidTr="00335227">
        <w:trPr>
          <w:trHeight w:val="420"/>
        </w:trPr>
        <w:tc>
          <w:tcPr>
            <w:tcW w:w="435" w:type="dxa"/>
            <w:noWrap/>
            <w:hideMark/>
          </w:tcPr>
          <w:p w:rsidR="00335227" w:rsidRPr="00335227" w:rsidRDefault="00335227" w:rsidP="00335227">
            <w:pPr>
              <w:rPr>
                <w:rFonts w:ascii="Palatino Linotype" w:hAnsi="Palatino Linotype" w:cs="Arial"/>
                <w:lang w:val="en-US"/>
              </w:rPr>
            </w:pPr>
            <w:r w:rsidRPr="00335227">
              <w:rPr>
                <w:rFonts w:ascii="Palatino Linotype" w:hAnsi="Palatino Linotype" w:cs="Arial"/>
                <w:lang w:val="en-US"/>
              </w:rPr>
              <w:t> </w:t>
            </w:r>
          </w:p>
        </w:tc>
        <w:tc>
          <w:tcPr>
            <w:tcW w:w="5484" w:type="dxa"/>
            <w:hideMark/>
          </w:tcPr>
          <w:p w:rsidR="00335227" w:rsidRPr="00335227" w:rsidRDefault="00335227" w:rsidP="00335227">
            <w:pPr>
              <w:rPr>
                <w:rFonts w:ascii="Palatino Linotype" w:hAnsi="Palatino Linotype" w:cs="Arial"/>
                <w:b/>
                <w:bCs/>
                <w:lang w:val="en-US"/>
              </w:rPr>
            </w:pPr>
            <w:r w:rsidRPr="00335227">
              <w:rPr>
                <w:rFonts w:ascii="Palatino Linotype" w:hAnsi="Palatino Linotype" w:cs="Arial"/>
                <w:b/>
                <w:bCs/>
                <w:lang w:val="en-US"/>
              </w:rPr>
              <w:t>Fərdi mühafizə vasitələri və xüsusi geyimlər</w:t>
            </w:r>
          </w:p>
        </w:tc>
        <w:tc>
          <w:tcPr>
            <w:tcW w:w="1176" w:type="dxa"/>
            <w:noWrap/>
            <w:hideMark/>
          </w:tcPr>
          <w:p w:rsidR="00335227" w:rsidRPr="00335227" w:rsidRDefault="00335227" w:rsidP="00335227">
            <w:pPr>
              <w:rPr>
                <w:rFonts w:ascii="Palatino Linotype" w:hAnsi="Palatino Linotype" w:cs="Arial"/>
                <w:lang w:val="en-US"/>
              </w:rPr>
            </w:pPr>
            <w:r w:rsidRPr="00335227">
              <w:rPr>
                <w:rFonts w:ascii="Palatino Linotype" w:hAnsi="Palatino Linotype" w:cs="Arial"/>
                <w:noProof/>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4775"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0606C7"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DGjQRvZ&#10;AwAAZgcAAA4AAAAAAAAAAAAAAAAALgIAAGRycy9lMm9Eb2MueG1sUEsBAi0AFAAGAAgAAAAhABK7&#10;BZvcAAAAAwEAAA8AAAAAAAAAAAAAAAAAMwYAAGRycy9kb3ducmV2LnhtbFBLBQYAAAAABAAEAPMA&#10;AAA8BwAAAAA=&#10;" filled="f" stroked="f">
                      <o:lock v:ext="edit" aspectratio="t"/>
                    </v:rect>
                  </w:pict>
                </mc:Fallback>
              </mc:AlternateContent>
            </w:r>
            <w:r w:rsidRPr="00335227">
              <w:rPr>
                <w:rFonts w:ascii="Palatino Linotype" w:hAnsi="Palatino Linotype" w:cs="Arial"/>
                <w:noProof/>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732F73"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Zn1Q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mBZkKJE6ufypDxT1+q2fK1+&#10;U7fqqvxB3ailes9gE8UyRP7UT+qcla/Lr9WFuixP1Fu1UJfaasnUHVwJYqHeqzlZncJujtNbWF9V&#10;duUZK09hVx1dwA4Wd7C7LL+DG1AWCHzGyASe8/L7tZ+mdoLHMCu/AQx4Lgj70YM9Q6gbIghyROwG&#10;K8QQuStEQkA8WlKA5UMvoF6Dwht9TITJZ0NjkBaTVcHV5eYHSI8YBQGeRvgRhImdumDlG5KPP+Fd&#10;M4DNEeYOx6cVi0otEo00wkbnBAkAEehalt8C8kbLregQgDqHHSGiLOC1UZ5S4N+1D0nV2nAHGCSP&#10;uR263qIm51QZhpfNZbq4CzXfZBsajOJp38qHiJBTnStKVE29qu/bOhCjdwakLsAWFaQ3RovQZf2F&#10;gAC1VO9WIt4x9Sus8MZoQNIHntDDmnbD7jTAzmPPmNNpbpnlyaZurPioeCoLajHsqtZ66fvu3tbQ&#10;90wfO9Oz9zxzb+h1TN9ttofutt93m61X5O20uqGIgwJD6tOobnOn9c/aaDVwqEE9Sze67peX9upn&#10;4tqmxb5f7GZ1+IoGjKU511etwprlsqt7jyaV3j7P9wXJk/lTHn4lWcb7kyAbx09kjilW9Wf9SAg+&#10;m8RBhEHg6Ah/wqAbCTR2MPuMR+jo4EXBdRKPRiKlGJg77EgPweP1EKS0hnjo2N729pbBQhy5TsfG&#10;vtJQO+dCFp/EPGW06RkC7DR4cAhplWltQrEy7ifTqZ6zf1fDjt0Ztodtz/Tc1hA1HAzMJ37fM1u+&#10;s701aA76/YFT1dDrTpIoijOCW9fQ+9c1tKsa6lTzaRIRnL4R44P+VLDDAJ8KvFD4rYTLezMrcB7S&#10;qGtaX+9rS/mvSnvAo+N9QXmhumCMa+PVJ4e+Ew/vtdX9h3H3DwA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yXOGZ9UDAABg&#10;BwAADgAAAAAAAAAAAAAAAAAuAgAAZHJzL2Uyb0RvYy54bWxQSwECLQAUAAYACAAAACEAErsFm9wA&#10;AAADAQAADwAAAAAAAAAAAAAAAAAvBgAAZHJzL2Rvd25yZXYueG1sUEsFBgAAAAAEAAQA8wAAADgH&#10;AAAAAA==&#10;" filled="f" stroked="f">
                      <o:lock v:ext="edit" aspectratio="t"/>
                    </v:rect>
                  </w:pict>
                </mc:Fallback>
              </mc:AlternateContent>
            </w:r>
          </w:p>
        </w:tc>
        <w:tc>
          <w:tcPr>
            <w:tcW w:w="615" w:type="dxa"/>
            <w:vMerge/>
            <w:hideMark/>
          </w:tcPr>
          <w:p w:rsidR="00335227" w:rsidRPr="00335227" w:rsidRDefault="00335227">
            <w:pPr>
              <w:rPr>
                <w:rFonts w:ascii="Palatino Linotype" w:hAnsi="Palatino Linotype" w:cs="Arial"/>
                <w:b/>
                <w:bCs/>
                <w:lang w:val="en-US"/>
              </w:rPr>
            </w:pPr>
          </w:p>
        </w:tc>
        <w:tc>
          <w:tcPr>
            <w:tcW w:w="2208" w:type="dxa"/>
            <w:hideMark/>
          </w:tcPr>
          <w:p w:rsidR="00335227" w:rsidRPr="00335227" w:rsidRDefault="00335227" w:rsidP="00335227">
            <w:pPr>
              <w:rPr>
                <w:rFonts w:ascii="Palatino Linotype" w:hAnsi="Palatino Linotype" w:cs="Arial"/>
                <w:b/>
                <w:bCs/>
                <w:lang w:val="en-US"/>
              </w:rPr>
            </w:pPr>
            <w:r w:rsidRPr="00335227">
              <w:rPr>
                <w:rFonts w:ascii="Palatino Linotype" w:hAnsi="Palatino Linotype" w:cs="Arial"/>
                <w:b/>
                <w:bCs/>
                <w:lang w:val="en-US"/>
              </w:rPr>
              <w:t> </w:t>
            </w:r>
          </w:p>
        </w:tc>
      </w:tr>
      <w:tr w:rsidR="00335227" w:rsidRPr="00335227" w:rsidTr="00335227">
        <w:trPr>
          <w:trHeight w:val="300"/>
        </w:trPr>
        <w:tc>
          <w:tcPr>
            <w:tcW w:w="435" w:type="dxa"/>
            <w:hideMark/>
          </w:tcPr>
          <w:p w:rsidR="00335227" w:rsidRPr="00335227" w:rsidRDefault="00335227" w:rsidP="00335227">
            <w:pPr>
              <w:rPr>
                <w:rFonts w:ascii="Palatino Linotype" w:hAnsi="Palatino Linotype" w:cs="Arial"/>
                <w:lang w:val="en-US"/>
              </w:rPr>
            </w:pPr>
            <w:r w:rsidRPr="00335227">
              <w:rPr>
                <w:rFonts w:ascii="Palatino Linotype" w:hAnsi="Palatino Linotype" w:cs="Arial"/>
                <w:lang w:val="en-US"/>
              </w:rPr>
              <w:t> </w:t>
            </w:r>
          </w:p>
        </w:tc>
        <w:tc>
          <w:tcPr>
            <w:tcW w:w="5484" w:type="dxa"/>
            <w:hideMark/>
          </w:tcPr>
          <w:p w:rsidR="00335227" w:rsidRPr="00335227" w:rsidRDefault="00335227">
            <w:pPr>
              <w:rPr>
                <w:rFonts w:ascii="Palatino Linotype" w:hAnsi="Palatino Linotype" w:cs="Arial"/>
                <w:b/>
                <w:bCs/>
              </w:rPr>
            </w:pPr>
            <w:r w:rsidRPr="00335227">
              <w:rPr>
                <w:rFonts w:ascii="Palatino Linotype" w:hAnsi="Palatino Linotype" w:cs="Arial"/>
                <w:b/>
                <w:bCs/>
              </w:rPr>
              <w:t>Lot 1-Dəbilqələr</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 </w:t>
            </w:r>
          </w:p>
        </w:tc>
        <w:tc>
          <w:tcPr>
            <w:tcW w:w="615" w:type="dxa"/>
            <w:hideMark/>
          </w:tcPr>
          <w:p w:rsidR="00335227" w:rsidRPr="00335227" w:rsidRDefault="00335227">
            <w:pPr>
              <w:rPr>
                <w:rFonts w:ascii="Palatino Linotype" w:hAnsi="Palatino Linotype" w:cs="Arial"/>
              </w:rPr>
            </w:pPr>
            <w:r w:rsidRPr="00335227">
              <w:rPr>
                <w:rFonts w:ascii="Palatino Linotype" w:hAnsi="Palatino Linotype" w:cs="Arial"/>
              </w:rPr>
              <w:t> </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 </w:t>
            </w:r>
          </w:p>
        </w:tc>
      </w:tr>
      <w:tr w:rsidR="00335227" w:rsidRPr="00335227" w:rsidTr="00335227">
        <w:trPr>
          <w:trHeight w:val="360"/>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Dəbilqə sarı, standartı: EN 397:2012+A1:2012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205</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 Mənşə, Keyfiyyət və Test sertfikatı</w:t>
            </w:r>
          </w:p>
        </w:tc>
      </w:tr>
      <w:tr w:rsidR="00335227" w:rsidRPr="00335227" w:rsidTr="00335227">
        <w:trPr>
          <w:trHeight w:val="360"/>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Dəbilqə göy, standartı: EN 397:2012+A1:2012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145</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 Mənşə, Keyfiyyət və Test sertfikatı</w:t>
            </w:r>
          </w:p>
        </w:tc>
      </w:tr>
      <w:tr w:rsidR="00335227" w:rsidRPr="00335227" w:rsidTr="00335227">
        <w:trPr>
          <w:trHeight w:val="360"/>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3</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Dəbilqə narıncı, standartı: EN 397:2012+A1:2012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581</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 Mənşə, Keyfiyyət və Test sertfikatı</w:t>
            </w:r>
          </w:p>
        </w:tc>
      </w:tr>
      <w:tr w:rsidR="00335227" w:rsidRPr="00335227" w:rsidTr="00335227">
        <w:trPr>
          <w:trHeight w:val="360"/>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4</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Dəbilqə ağ, standartı: EN 397:2012+A1:2012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641</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 Mənşə, Keyfiyyət və Test sertfikatı</w:t>
            </w:r>
          </w:p>
        </w:tc>
      </w:tr>
      <w:tr w:rsidR="00335227" w:rsidRPr="00335227" w:rsidTr="00335227">
        <w:trPr>
          <w:trHeight w:val="360"/>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5</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Dəbilqə qırmızı, standartı: EN 397:2012+A1:2012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217</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 Mənşə, Keyfiyyət və Test sertfikatı</w:t>
            </w:r>
          </w:p>
        </w:tc>
      </w:tr>
      <w:tr w:rsidR="00335227" w:rsidRPr="00335227" w:rsidTr="00335227">
        <w:trPr>
          <w:trHeight w:val="360"/>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6</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Dəbilqə tünd qəhvəyi, standartı: EN 397:2012+A1:2012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98</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 Mənşə, Keyfiyyət və Test sertfikatı</w:t>
            </w:r>
          </w:p>
        </w:tc>
      </w:tr>
      <w:tr w:rsidR="00335227" w:rsidRPr="00335227" w:rsidTr="00335227">
        <w:trPr>
          <w:trHeight w:val="360"/>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7</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Dəbilqə yaşıl, standartı: EN 397:2012+A1:2012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157</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 Mənşə, Keyfiyyət və Test sertfikatı</w:t>
            </w:r>
          </w:p>
        </w:tc>
      </w:tr>
      <w:tr w:rsidR="00335227" w:rsidRPr="00335227" w:rsidTr="00335227">
        <w:trPr>
          <w:trHeight w:val="360"/>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8</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Dəbilqə altı papaq EN342,ölçüsü: standart</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1233</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 Mənşə, Keyfiyyət və Test sertfikatı</w:t>
            </w:r>
          </w:p>
        </w:tc>
      </w:tr>
      <w:tr w:rsidR="00335227" w:rsidRPr="00335227" w:rsidTr="00335227">
        <w:trPr>
          <w:trHeight w:val="360"/>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9</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Dəbilqənin çənə altı (kəmərlə) EN 397</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2143</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 Mənşə, Keyfiyyət və Test sertfikatı</w:t>
            </w:r>
          </w:p>
        </w:tc>
      </w:tr>
      <w:tr w:rsidR="00335227" w:rsidRPr="00335227" w:rsidTr="00335227">
        <w:trPr>
          <w:trHeight w:val="360"/>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 </w:t>
            </w:r>
          </w:p>
        </w:tc>
        <w:tc>
          <w:tcPr>
            <w:tcW w:w="5484" w:type="dxa"/>
            <w:hideMark/>
          </w:tcPr>
          <w:p w:rsidR="00335227" w:rsidRPr="00335227" w:rsidRDefault="00335227">
            <w:pPr>
              <w:rPr>
                <w:rFonts w:ascii="Palatino Linotype" w:hAnsi="Palatino Linotype" w:cs="Arial"/>
                <w:b/>
                <w:bCs/>
              </w:rPr>
            </w:pPr>
            <w:r w:rsidRPr="00335227">
              <w:rPr>
                <w:rFonts w:ascii="Palatino Linotype" w:hAnsi="Palatino Linotype" w:cs="Arial"/>
                <w:b/>
                <w:bCs/>
              </w:rPr>
              <w:t xml:space="preserve">Lot 2-Eynəklər </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 </w:t>
            </w:r>
          </w:p>
        </w:tc>
        <w:tc>
          <w:tcPr>
            <w:tcW w:w="615" w:type="dxa"/>
            <w:hideMark/>
          </w:tcPr>
          <w:p w:rsidR="00335227" w:rsidRPr="00335227" w:rsidRDefault="00335227">
            <w:pPr>
              <w:rPr>
                <w:rFonts w:ascii="Palatino Linotype" w:hAnsi="Palatino Linotype" w:cs="Arial"/>
              </w:rPr>
            </w:pPr>
            <w:r w:rsidRPr="00335227">
              <w:rPr>
                <w:rFonts w:ascii="Palatino Linotype" w:hAnsi="Palatino Linotype" w:cs="Arial"/>
              </w:rPr>
              <w:t> </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 </w:t>
            </w:r>
          </w:p>
        </w:tc>
      </w:tr>
      <w:tr w:rsidR="00335227" w:rsidRPr="00335227" w:rsidTr="00335227">
        <w:trPr>
          <w:trHeight w:val="360"/>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Qulaqcıqlar, səs-küyə qarşı antifon qapayıcı, standartı: EN 352-3:2002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220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 Mənşə, Keyfiyyət və Test sertfikatı</w:t>
            </w:r>
          </w:p>
        </w:tc>
      </w:tr>
      <w:tr w:rsidR="00335227" w:rsidRPr="00335227" w:rsidTr="00335227">
        <w:trPr>
          <w:trHeight w:val="360"/>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Qulaqcıq (birdəfəlik tıxaclar)</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cüt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5000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 </w:t>
            </w:r>
          </w:p>
        </w:tc>
      </w:tr>
      <w:tr w:rsidR="00335227" w:rsidRPr="00335227" w:rsidTr="00335227">
        <w:trPr>
          <w:trHeight w:val="465"/>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lastRenderedPageBreak/>
              <w:t>3</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 xml:space="preserve">Tam bağlı qoruyucu eynək şəffaf, ölçüsü: standart, маркировка: 2C-1.2.3M.1. K.N.BT. 9 (B), степень механической прочности: BT, standartı: EN 166:2001; EN 170:1992 </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1504</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 Mənşə, Keyfiyyət və Test sertfikatı</w:t>
            </w:r>
          </w:p>
        </w:tc>
      </w:tr>
      <w:tr w:rsidR="00335227" w:rsidRPr="00335227" w:rsidTr="00335227">
        <w:trPr>
          <w:trHeight w:val="465"/>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4</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 xml:space="preserve">Qaz qaynaq işləri üçün eynək,  ölçüsü: standart, степень затемнения: 5, 3М 2845, standartı: EN 149, </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24</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 Mənşə, Keyfiyyət və Test sertfikatı</w:t>
            </w:r>
          </w:p>
        </w:tc>
      </w:tr>
      <w:tr w:rsidR="00335227" w:rsidRPr="00335227" w:rsidTr="00335227">
        <w:trPr>
          <w:trHeight w:val="330"/>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5</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Qaynaq üz qoruyucusu üçün şüşə, səffaf,standartı: EN 379</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7812</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 Mənşə, Keyfiyyət və Test sertfikatı</w:t>
            </w:r>
          </w:p>
        </w:tc>
      </w:tr>
      <w:tr w:rsidR="00335227" w:rsidRPr="00335227" w:rsidTr="00335227">
        <w:trPr>
          <w:trHeight w:val="330"/>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6</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Qaynaq üz qoruyucusu üçün şüşə, qara,standartı: EN 379</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3512</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 Mənşə, Keyfiyyət və Test sertfikatı</w:t>
            </w:r>
          </w:p>
        </w:tc>
      </w:tr>
      <w:tr w:rsidR="00335227" w:rsidRPr="00335227" w:rsidTr="00335227">
        <w:trPr>
          <w:trHeight w:val="465"/>
        </w:trPr>
        <w:tc>
          <w:tcPr>
            <w:tcW w:w="43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7</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 xml:space="preserve">Tam bağlı qoruyucu eynək qara, ölçüsü: standart, маркировка: 2C-1.2.3M.1. K.N.BT. 9 (B), степень механической прочности: BT, standartı: EN 166:2001; EN 170:1992 </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 </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1200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 </w:t>
            </w:r>
          </w:p>
        </w:tc>
      </w:tr>
      <w:tr w:rsidR="00335227" w:rsidRPr="00335227" w:rsidTr="00335227">
        <w:trPr>
          <w:trHeight w:val="330"/>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S/S</w:t>
            </w:r>
          </w:p>
        </w:tc>
        <w:tc>
          <w:tcPr>
            <w:tcW w:w="5484" w:type="dxa"/>
            <w:hideMark/>
          </w:tcPr>
          <w:p w:rsidR="00335227" w:rsidRPr="00335227" w:rsidRDefault="00335227" w:rsidP="00335227">
            <w:pPr>
              <w:rPr>
                <w:rFonts w:ascii="Palatino Linotype" w:hAnsi="Palatino Linotype" w:cs="Arial"/>
                <w:b/>
                <w:bCs/>
              </w:rPr>
            </w:pPr>
            <w:r w:rsidRPr="00335227">
              <w:rPr>
                <w:rFonts w:ascii="Palatino Linotype" w:hAnsi="Palatino Linotype" w:cs="Arial"/>
                <w:b/>
                <w:bCs/>
              </w:rPr>
              <w:t>Lot3-Kombinezonlar</w:t>
            </w:r>
          </w:p>
        </w:tc>
        <w:tc>
          <w:tcPr>
            <w:tcW w:w="1176"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 </w:t>
            </w:r>
          </w:p>
        </w:tc>
        <w:tc>
          <w:tcPr>
            <w:tcW w:w="615" w:type="dxa"/>
            <w:hideMark/>
          </w:tcPr>
          <w:p w:rsidR="00335227" w:rsidRPr="00335227" w:rsidRDefault="00335227">
            <w:pPr>
              <w:rPr>
                <w:rFonts w:ascii="Palatino Linotype" w:hAnsi="Palatino Linotype" w:cs="Arial"/>
              </w:rPr>
            </w:pPr>
            <w:r w:rsidRPr="00335227">
              <w:rPr>
                <w:rFonts w:ascii="Palatino Linotype" w:hAnsi="Palatino Linotype" w:cs="Arial"/>
              </w:rPr>
              <w:t> </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 </w:t>
            </w:r>
          </w:p>
        </w:tc>
      </w:tr>
      <w:tr w:rsidR="00335227" w:rsidRPr="00335227" w:rsidTr="00335227">
        <w:trPr>
          <w:trHeight w:val="330"/>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1</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Kombinezon, rəngi: qırmızı,  ölçüsü:  44,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30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30"/>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2</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Kombinezon, rəngi: qırmızı,  ölçüsü:  46,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370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30"/>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3</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Kombinezon, rəngi: qırmızı,  ölçüsü:  48,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809</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30"/>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4</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Kombinezon, rəngi: qırmızı,  ölçüsü:  50,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804</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30"/>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5</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Kombinezon, rəngi: qırmızı,  ölçüsü:  52,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822</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30"/>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6</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Kombinezon, rəngi: qırmızı,  ölçüsü:  54,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667</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30"/>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7</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Kombinezon, rəngi: qırmızı,  ölçüsü:  56,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482</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lastRenderedPageBreak/>
              <w:t>8</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Kombinezon, rəngi: qırmızı,  ölçüsü:  58,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166</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9</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Kombinezon, rəngi: qırmızı,  ölçüsü:  60,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85</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10</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Kombinezon, rəngi: qırmızı,  ölçüsü:  62,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54</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11</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Kombinezon, rəngi: qırmızı,  ölçüsü:  64,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45</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12</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Kombinezon, rəngi: qırmızı,  ölçüsü:  66,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28</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13</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Kombinezon, rəngi: qırmızı,  ölçüsü:  68,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15</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14</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Kombinezon, rəngi: göy,  ölçüsü:  42,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6</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15</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Kombinezon, rəngi: göy,  ölçüsü:  44,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8</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16</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Kombinezon, rəngi: göy,  ölçüsü:  46,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210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17</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Kombinezon, rəngi: göy,  ölçüsü:  48,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396</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18</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Kombinezon, rəngi: göy,  ölçüsü:  50,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334</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19</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Kombinezon, rəngi: göy,  ölçüsü:  52,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471</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20</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Kombinezon, rəngi: göy,  ölçüsü:  54,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477</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lastRenderedPageBreak/>
              <w:t>21</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Kombinezon, rəngi: göy,  ölçüsü:  56,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289</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22</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Kombinezon, rəngi: göy,  ölçüsü:  58,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160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23</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Kombinezon, rəngi: göy,  ölçüsü:  60,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70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24</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Kombinezon, rəngi: göy,  ölçüsü:  62,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29</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25</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Kombinezon, rəngi: göy,  ölçüsü:  64,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48</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26</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Kombinezon, rəngi: göy,  ölçüsü:  66,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19</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27</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Kombinezon, rəngi: göy,  ölçüsü:  68, standartı: EN 1149-5:2008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11</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28</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Kombinezon qaynaq işi üçün istiliyə  alova davamlı, Elektrik işləri üçün, ölçüsü: 46, standartı: EN ISO 11612:2015 (A1 B1 C1 E1 F1); EN ISO 11611:2015 Class 1 A1; EN 1149-5:2018; EN 13034+A1:2009 Type 6; EN 61482-1-1:2019; EN 61482-1-2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29</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Kombinezon qaynaq işi üçün istiliyə  alova davamlı, Elektrik işləri üçün, ölçüsü: 48, standartı: EN ISO 11612:2015 (A1 B1 C1 E1 F1); EN ISO 11611:2015 Class 1 A1; EN 1149-5:2018; EN 13034+A1:2009 Type 6; EN 61482-1-1:2019; EN 61482-1-2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27</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30</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Kombinezon qaynaq işi üçün istiliyə  alova davamlı, Elektrik işləri üçün, ölçüsü: 50, standartı: EN ISO 11612:2015 (A1 B1 C1 E1 F1); EN ISO 11611:2015 Class 1 A1; EN 1149-5:2018; EN 13034+A1:2009 Type 6; EN 61482-1-1:2019; EN 61482-1-2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44</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31</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 xml:space="preserve">Kombinezon qaynaq işi üçün istiliyə  alova davamlı, Elektrik işləri üçün, ölçüsü: 52, standartı: EN ISO 11612:2015 (A1 B1 C1 E1 F1); EN ISO 11611:2015 Class </w:t>
            </w:r>
            <w:r w:rsidRPr="00335227">
              <w:rPr>
                <w:rFonts w:ascii="Palatino Linotype" w:hAnsi="Palatino Linotype" w:cs="Arial"/>
              </w:rPr>
              <w:lastRenderedPageBreak/>
              <w:t>1 A1; EN 1149-5:2018; EN 13034+A1:2009 Type 6; EN 61482-1-1:2019; EN 61482-1-2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lastRenderedPageBreak/>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74</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lastRenderedPageBreak/>
              <w:t>32</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Kombinezon qaynaq işi üçün istiliyə  alova davamlı, Elektrik işləri üçün, ölçüsü: 54, standartı: EN ISO 11612:2015 (A1 B1 C1 E1 F1); EN ISO 11611:2015 Class 1 A1; EN 1149-5:2018; EN 13034+A1:2009 Type 6; EN 61482-1-1:2019; EN 61482-1-2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51</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33</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Kombinezon qaynaq işi üçün istiliyə  alova davamlı, Elektrik işləri üçün, ölçüsü: 56, standartı: EN ISO 11612:2015 (A1 B1 C1 E1 F1); EN ISO 11611:2015 Class 1 A1; EN 1149-5:2018; EN 13034+A1:2009 Type 6; EN 61482-1-1:2019; EN 61482-1-2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38</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34</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Kombinezon qaynaq işi üçün istiliyə  alova davamlı, Elektrik işləri üçün, ölçüsü: 58, standartı: EN ISO 11612:2015 (A1 B1 C1 E1 F1); EN ISO 11611:2015 Class 1 A1; EN 1149-5:2018; EN 13034+A1:2009 Type 6; EN 61482-1-1:2019; EN 61482-1-2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7</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35</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Kombinezon qaynaq işi üçün istiliyə  alova davamlı, Elektrik işləri üçün, ölçüsü: 60, standartı: EN ISO 11612:2015 (A1 B1 C1 E1 F1); EN ISO 11611:2015 Class 1 A1; EN 1149-5:2018; EN 13034+A1:2009 Type 6; EN 61482-1-1:2019; EN 61482-1-2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6</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36</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Soyuq havalar üçün yüksək görüntülü gödəkçə, ölçüsü:  40, standartı: EN 342:2004; EN 20471+A1:2016 Class 3; EN 1149-5:2008; EN 13034+A1:2009 Type 6; EN 343:2003+A1:2007 Class 3 Level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6</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37</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Soyuq havalar üçün yüksək görüntülü gödəkçə, ölçüsü:  42, standartı: EN 342:2004; EN 20471+A1:2016 Class 3; EN 1149-5:2008; EN 13034+A1:2009 Type 6; EN 343:2003+A1:2007 Class 3 Level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28</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38</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Soyuq havalar üçün yüksək görüntülü gödəkçə, ölçüsü:  44, standartı: EN 342:2004; EN 20471+A1:2016 Class 3; EN 1149-5:2008; EN 13034+A1:2009 Type 6; EN 343:2003+A1:2007 Class 3 Level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25</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39</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Soyuq havalar üçün yüksək görüntülü gödəkçə, ölçüsü:  46, standartı: EN 342:2004; EN 20471+A1:2016 Class 3; EN 1149-5:2008; EN 13034+A1:2009 Type 6; EN 343:2003+A1:2007 Class 3 Level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75</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lastRenderedPageBreak/>
              <w:t>40</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Soyuq havalar üçün yüksək görüntülü gödəkçə, ölçüsü:  48, standartı: EN 342:2004; EN 20471+A1:2016 Class 3; EN 1149-5:2008; EN 13034+A1:2009 Type 6; EN 343:2003+A1:2007 Class 3 Level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628</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41</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Soyuq havalar üçün yüksək görüntülü gödəkçə, ölçüsü:  50, standartı: EN 342:2004; EN 20471+A1:2016 Class 3; EN 1149-5:2008; EN 13034+A1:2009 Type 6; EN 343:2003+A1:2007 Class 3 Level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1127</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42</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Soyuq havalar üçün yüksək görüntülü gödəkçə, ölçüsü:  52, standartı: EN 342:2004; EN 20471+A1:2016 Class 3; EN 1149-5:2008; EN 13034+A1:2009 Type 6; EN 343:2003+A1:2007 Class 3 Level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1082</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43</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Soyuq havalar üçün yüksək görüntülü gödəkçə, ölçüsü:  54, standartı: EN 342:2004; EN 20471+A1:2016 Class 3; EN 1149-5:2008; EN 13034+A1:2009 Type 6; EN 343:2003+A1:2007 Class 3 Level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882</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44</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Soyuq havalar üçün yüksək görüntülü gödəkçə, ölçüsü:  56, standartı: EN 342:2004; EN 20471+A1:2016 Class 3; EN 1149-5:2008; EN 13034+A1:2009 Type 6; EN 343:2003+A1:2007 Class 3 Level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660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45</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Soyuq havalar üçün yüksək görüntülü gödəkçə, ölçüsü:  58, standartı: EN 342:2004; EN 20471+A1:2016 Class 3; EN 1149-5:2008; EN 13034+A1:2009 Type 6; EN 343:2003+A1:2007 Class 3 Level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385</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46</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Soyuq havalar üçün yüksək görüntülü gödəkçə, ölçüsü:  60, standartı: EN 342:2004; EN 20471+A1:2016 Class 3; EN 1149-5:2008; EN 13034+A1:2009 Type 6; EN 343:2003+A1:2007 Class 3 Level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95</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47</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Soyuq havalar üçün yüksək görüntülü gödəkçə, ölçüsü:  62, standartı: EN 342:2004; EN 20471+A1:2016 Class 3; EN 1149-5:2008; EN 13034+A1:2009 Type 6; EN 343:2003+A1:2007 Class 3 Level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60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48</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Soyuq havalar üçün yüksək görüntülü gödəkçə, ölçüsü:  64, standartı: EN 342:2004; EN 20471+A1:2016 Class 3; EN 1149-5:2008; EN 13034+A1:2009 Type 6; EN 343:2003+A1:2007 Class 3 Level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30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49</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Soyuq havalar üçün yüksək görüntülü gödəkçə, ölçüsü:  66, standartı: EN 342:2004; EN 20471+A1:2016 Class 3; EN 1149-5:2008; EN 13034+A1:2009 Type 6; EN 343:2003+A1:2007 Class 3 Level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12</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70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lastRenderedPageBreak/>
              <w:t>50</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Soyuq havalar üçün yüksək görüntülü gödəkçə, ölçüsü:  68, standartı: EN 342:2004; EN 20471+A1:2016 Class 3; EN 1149-5:2008; EN 13034+A1:2009 Type 6; EN 343:2003+A1:2007 Class 3 Level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4</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480"/>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51</w:t>
            </w:r>
          </w:p>
        </w:tc>
        <w:tc>
          <w:tcPr>
            <w:tcW w:w="5484" w:type="dxa"/>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Dəri önlük qaynaqçı üçün,standartı: EN ISO 11612:2015 (A1 B1 C1 E1 F1); EN ISO 11611:2015 Class 1 A1; EN 1149-5:2018; EN 61482-1-1:2019; EN 61482-1-2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152</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52</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 xml:space="preserve">Odadavamlı parçadan kostyum,ölçüsü: standartı:48, EN 11611 </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53</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 xml:space="preserve">Odadavamlı parçadan kostyum,ölçüsü: standartı:50, EN 11611 </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54</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 xml:space="preserve">Odadavamlı parçadan kostyum,ölçüsü: standartı:52, EN 11611 </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55</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 xml:space="preserve">Odadavamlı parçadan kostyum,ölçüsü: standartı:54, EN 11611 </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4</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56</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 xml:space="preserve">Odadavamlı parçadan kostyum,ölçüsü: standartı:56, EN 11611 </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57</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Hündürlükdə yıxılma əleyhinə təhlükəsizlik geyimi, standartı: EN 361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58</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Yağışdan qorunmaq üçün plaş, ölçüsü:  48, standartı:  EN 343 Class A</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5</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59</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Yağışdan qorunmaq üçün plaş, ölçüsü:  50, standartı:  EN 343 Class A</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33</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60</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Yağışdan qorunmaq üçün plaş, ölçüsü:  52, standartı:  EN 343 Class A</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113</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61</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Yağışdan qorunmaq üçün plaş, ölçüsü:  54, standartı:  EN 343 Class A</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79</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lastRenderedPageBreak/>
              <w:t>62</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Yağışdan qorunmaq üçün plaş, ölçüsü:  56, standartı:  EN 343 Class A</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50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63</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Yağışdan qorunmaq üçün plaş, ölçüsü:  58, standartı:  EN 343 Class A</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42</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64</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Yağışdan qorunmaq üçün plaş, ölçüsü:  60, standartı:  EN 343 Class A</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38</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65</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Plaş su keçirməyən, ölçüsü: XL, başlıqlı, standartı: EN11612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295</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66</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 xml:space="preserve">Yüksək görüntülü jilet, rəngi: sarı, ölçüsü: XL, standartı: EN 20471+A1:2016 Class 2 </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60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67</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Yüksək görüntülü jilet, rəngi: narıncı, ölçüsü: XL,standartı: EN 20471+A1:2016 Class 2</w:t>
            </w:r>
            <w:r w:rsidRPr="00335227">
              <w:rPr>
                <w:rFonts w:ascii="Palatino Linotype" w:hAnsi="Palatino Linotype" w:cs="Arial"/>
                <w:b/>
                <w:bCs/>
              </w:rPr>
              <w:t xml:space="preserve"> </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15</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68</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 xml:space="preserve">“Seahorse” işçi xilasedici jilet, ölçüsü : XL, IACS tərəfindən təsdiq edilmiş </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69</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Qum şırnağı işi ilə məşğul olanlar üçün xüsusi FMV dəsti ISO 14877:2002</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70</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Rezin önlük Kimyavi maddələrlə işləmək üçün, standartı:  EN 14605:2005 Type 4 Class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196</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71</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Qış alt paltar dəsti , ölçüsü:  40, ТР ТС 017 ГОСТ 31408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12</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72</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Qış alt paltar dəsti , ölçüsü:  42, ТР ТС 017 ГОСТ 31408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24</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73</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Qış alt paltar dəsti , ölçüsü:  44, ТР ТС 017 ГОСТ 31408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124</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74</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Qış alt paltar dəsti , ölçüsü:  46, ТР ТС 017 ГОСТ 31408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350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lastRenderedPageBreak/>
              <w:t>75</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Qış alt paltar dəsti , ölçüsü:  48, ТР ТС 017 ГОСТ 31408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731</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76</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Qış alt paltar dəsti , ölçüsü:  50, ТР ТС 017 ГОСТ 31408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1087</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77</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Qış alt paltar dəsti , ölçüsü:  52, ТР ТС 017 ГОСТ 31408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992</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78</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Qış alt paltar dəsti , ölçüsü:  54, ТР ТС 017 ГОСТ 31408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620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79</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Qış alt paltar dəsti , ölçüsü:  56, ТР ТС 017 ГОСТ 31408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324</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80</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Qış alt paltar dəsti , ölçüsü:  58, ТР ТС 017 ГОСТ 31408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179</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81</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Qış alt paltar dəsti , ölçüsü:  60, ТР ТС 017 ГОСТ 31408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83</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82</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Qış alt paltar dəsti , ölçüsü:  62, ТР ТС 017 ГОСТ 31408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40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83</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Qış alt paltar dəsti , ölçüsü:  64, ТР ТС 017 ГОСТ 31408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27</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84</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Qış alt paltar dəsti , ölçüsü:  66, ТР ТС 017 ГОСТ 31408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14</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85</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Qış alt paltar dəsti , ölçüsü:  68, ТР ТС 017 ГОСТ 31408</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4</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86</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Kostyum (şalvar-koynək) xadimələr üçün (yaşıl rəngdə),ölçüsü : 44, GOST 12.4.280-2014</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87</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Kostyum (şalvar-koynək) xadimələr üçün (yaşıl rəngdə),ölçüsü : 46, GOST 12.4.280-2014</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17</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lastRenderedPageBreak/>
              <w:t>88</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Kostyum (şalvar-koynək) xadimələr üçün (yaşıl rəngdə),ölçüsü : 48, GOST 12.4.280-2014</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19</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89</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Kostyum (şalvar-koynək) xadimələr üçün (yaşıl rəngdə),ölçüsü : 50, GOST 12.4.280-2014</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18</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90</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Kostyum (şalvar-koynək) xadimələr üçün (yaşıl rəngdə),ölçüsü : 52, GOST 12.4.280-2014</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33</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91</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Kostyum (şalvar-koynək) xadimələr üçün (yaşıl rəngdə),ölçüsü : 54, GOST 12.4.280-2014</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29</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92</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Kostyum (şalvar-koynək) xadimələr üçün (yaşıl rəngdə),ölçüsü : 56, GOST 12.4.280-2014</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16</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93</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Kostyum (şalvar-koynək) xadimələr üçün (yaşıl rəngdə),ölçüsü : 58, GOST 12.4.280-2014</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23</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94</w:t>
            </w:r>
          </w:p>
        </w:tc>
        <w:tc>
          <w:tcPr>
            <w:tcW w:w="5484" w:type="dxa"/>
            <w:noWrap/>
            <w:hideMark/>
          </w:tcPr>
          <w:p w:rsidR="00335227" w:rsidRPr="00335227" w:rsidRDefault="00335227">
            <w:pPr>
              <w:rPr>
                <w:rFonts w:ascii="Palatino Linotype" w:hAnsi="Palatino Linotype" w:cs="Arial"/>
              </w:rPr>
            </w:pPr>
            <w:r w:rsidRPr="00335227">
              <w:rPr>
                <w:rFonts w:ascii="Palatino Linotype" w:hAnsi="Palatino Linotype" w:cs="Arial"/>
              </w:rPr>
              <w:t>Kostyum (şalvar-koynək) xadimələr üçün (yaşıl rəngdə),ölçüsü : 60, GOST 12.4.280-2014</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11</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7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95</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Tibbi xalat,standartı: ISO 22610:2006,ölçüsü : 54,  GOST 12.4.132-83, GOST 12.4.131-83</w:t>
            </w:r>
          </w:p>
        </w:tc>
        <w:tc>
          <w:tcPr>
            <w:tcW w:w="1176"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cüt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12</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480"/>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96</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Birdəfəlik kombinezon type 6 SiZE-ХL  EN 13034:2005/ГОСТ 12.4.259-2014; EN1149-5/ГОСТ Р ЕН 1149-5-2208/ГОСТ 12.4.175-88 в.1,в.3,с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26500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465"/>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97</w:t>
            </w:r>
          </w:p>
        </w:tc>
        <w:tc>
          <w:tcPr>
            <w:tcW w:w="5484" w:type="dxa"/>
            <w:hideMark/>
          </w:tcPr>
          <w:p w:rsidR="00335227" w:rsidRPr="00335227" w:rsidRDefault="00335227">
            <w:pPr>
              <w:rPr>
                <w:rFonts w:ascii="Palatino Linotype" w:hAnsi="Palatino Linotype" w:cs="Arial"/>
              </w:rPr>
            </w:pPr>
            <w:r w:rsidRPr="00335227">
              <w:rPr>
                <w:rFonts w:ascii="Palatino Linotype" w:hAnsi="Palatino Linotype" w:cs="Arial"/>
              </w:rPr>
              <w:t>Birdəfəlik kombinezon type 6 SiZE-ХХL  EN 13034:2005/ГОСТ 12.4.259-2014; EN1149-5/ГОСТ Р ЕН 1149-5-2208/ГОСТ 12.4.175-88 в.1,в.3,с 1</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ədəd</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18500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r w:rsidR="00335227" w:rsidRPr="00335227" w:rsidTr="00335227">
        <w:trPr>
          <w:trHeight w:val="330"/>
        </w:trPr>
        <w:tc>
          <w:tcPr>
            <w:tcW w:w="435" w:type="dxa"/>
            <w:noWrap/>
            <w:hideMark/>
          </w:tcPr>
          <w:p w:rsidR="00335227" w:rsidRPr="00335227" w:rsidRDefault="00335227" w:rsidP="00335227">
            <w:pPr>
              <w:rPr>
                <w:rFonts w:ascii="Palatino Linotype" w:hAnsi="Palatino Linotype" w:cs="Arial"/>
              </w:rPr>
            </w:pPr>
            <w:r w:rsidRPr="00335227">
              <w:rPr>
                <w:rFonts w:ascii="Palatino Linotype" w:hAnsi="Palatino Linotype" w:cs="Arial"/>
              </w:rPr>
              <w:t>98</w:t>
            </w:r>
          </w:p>
        </w:tc>
        <w:tc>
          <w:tcPr>
            <w:tcW w:w="5484" w:type="dxa"/>
            <w:noWrap/>
            <w:hideMark/>
          </w:tcPr>
          <w:p w:rsidR="00335227" w:rsidRPr="00335227" w:rsidRDefault="00335227">
            <w:pPr>
              <w:rPr>
                <w:rFonts w:ascii="Palatino Linotype" w:hAnsi="Palatino Linotype" w:cs="Arial"/>
                <w:lang w:val="en-US"/>
              </w:rPr>
            </w:pPr>
            <w:r w:rsidRPr="00335227">
              <w:rPr>
                <w:rFonts w:ascii="Palatino Linotype" w:hAnsi="Palatino Linotype" w:cs="Arial"/>
                <w:lang w:val="en-US"/>
              </w:rPr>
              <w:t>Turşuya davamlı kostyum, ölçüsü : XL, standartı: EN 13034: 2005+A1: 2009 TYPE 6</w:t>
            </w:r>
          </w:p>
        </w:tc>
        <w:tc>
          <w:tcPr>
            <w:tcW w:w="1176"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dəst</w:t>
            </w:r>
          </w:p>
        </w:tc>
        <w:tc>
          <w:tcPr>
            <w:tcW w:w="615" w:type="dxa"/>
            <w:hideMark/>
          </w:tcPr>
          <w:p w:rsidR="00335227" w:rsidRPr="00335227" w:rsidRDefault="00335227" w:rsidP="00335227">
            <w:pPr>
              <w:rPr>
                <w:rFonts w:ascii="Palatino Linotype" w:hAnsi="Palatino Linotype" w:cs="Arial"/>
              </w:rPr>
            </w:pPr>
            <w:r w:rsidRPr="00335227">
              <w:rPr>
                <w:rFonts w:ascii="Palatino Linotype" w:hAnsi="Palatino Linotype" w:cs="Arial"/>
              </w:rPr>
              <w:t>150</w:t>
            </w:r>
          </w:p>
        </w:tc>
        <w:tc>
          <w:tcPr>
            <w:tcW w:w="2208" w:type="dxa"/>
            <w:hideMark/>
          </w:tcPr>
          <w:p w:rsidR="00335227" w:rsidRPr="00335227" w:rsidRDefault="00335227">
            <w:pPr>
              <w:rPr>
                <w:rFonts w:ascii="Palatino Linotype" w:hAnsi="Palatino Linotype" w:cs="Arial"/>
              </w:rPr>
            </w:pPr>
            <w:r w:rsidRPr="00335227">
              <w:rPr>
                <w:rFonts w:ascii="Palatino Linotype" w:hAnsi="Palatino Linotype" w:cs="Arial"/>
              </w:rPr>
              <w:t>Uyğunluqvə Keyfiyyət,Gigiyenik  sertfikatı</w:t>
            </w:r>
          </w:p>
        </w:tc>
      </w:tr>
    </w:tbl>
    <w:p w:rsidR="00CD301A" w:rsidRDefault="00CD301A" w:rsidP="00CD301A">
      <w:pPr>
        <w:rPr>
          <w:rFonts w:ascii="Palatino Linotype" w:hAnsi="Palatino Linotype" w:cs="Arial"/>
          <w:lang w:val="az-Latn-AZ"/>
        </w:rPr>
      </w:pPr>
    </w:p>
    <w:p w:rsidR="00C44096" w:rsidRPr="00FA47E7" w:rsidRDefault="00C44096" w:rsidP="00C44096">
      <w:pPr>
        <w:rPr>
          <w:rFonts w:ascii="Arial" w:hAnsi="Arial" w:cs="Arial"/>
          <w:b/>
          <w:lang w:val="az-Latn-AZ"/>
        </w:rPr>
      </w:pPr>
      <w:r>
        <w:rPr>
          <w:rFonts w:ascii="Arial" w:hAnsi="Arial" w:cs="Arial"/>
          <w:b/>
          <w:lang w:val="az-Latn-AZ"/>
        </w:rPr>
        <w:t xml:space="preserve">          </w:t>
      </w:r>
      <w:bookmarkStart w:id="0" w:name="_GoBack"/>
      <w:bookmarkEnd w:id="0"/>
      <w:r>
        <w:rPr>
          <w:rFonts w:ascii="Arial" w:hAnsi="Arial" w:cs="Arial"/>
          <w:b/>
          <w:lang w:val="az-Latn-AZ"/>
        </w:rPr>
        <w:t>Qeyd: Mallar bir dəfəyə deyil il ərzində hissə hissə tədarük ediləcəkdir. Ödəniş şərti yalnız fakt üzrə qəbul olunur, digər şərtlər qəbul edilməyəcəkdir.</w:t>
      </w:r>
    </w:p>
    <w:p w:rsidR="00C44096" w:rsidRPr="006B3407" w:rsidRDefault="00C44096" w:rsidP="00CD301A">
      <w:pPr>
        <w:rPr>
          <w:rFonts w:ascii="Palatino Linotype" w:hAnsi="Palatino Linotype" w:cs="Arial"/>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41D66" w:rsidRPr="00964338" w:rsidRDefault="00CD301A" w:rsidP="00741D66">
      <w:pPr>
        <w:jc w:val="center"/>
        <w:rPr>
          <w:rFonts w:ascii="Arial" w:hAnsi="Arial" w:cs="Arial"/>
          <w:b/>
          <w:color w:val="000000"/>
          <w:lang w:val="az-Latn-AZ"/>
        </w:rPr>
      </w:pPr>
      <w:r>
        <w:rPr>
          <w:rFonts w:ascii="Arial" w:hAnsi="Arial" w:cs="Arial"/>
          <w:b/>
          <w:color w:val="000000"/>
          <w:lang w:val="az-Latn-AZ"/>
        </w:rPr>
        <w:t>Mahir İsayev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lastRenderedPageBreak/>
        <w:t xml:space="preserve">Tel: +99450 </w:t>
      </w:r>
      <w:r w:rsidR="00CD301A">
        <w:rPr>
          <w:rFonts w:ascii="Arial" w:hAnsi="Arial" w:cs="Arial"/>
          <w:b/>
          <w:color w:val="000000"/>
          <w:lang w:val="az-Latn-AZ"/>
        </w:rPr>
        <w:t>2921232</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CD301A">
        <w:rPr>
          <w:rFonts w:ascii="Arial" w:hAnsi="Arial" w:cs="Arial"/>
          <w:b/>
          <w:shd w:val="clear" w:color="auto" w:fill="FAFAFA"/>
          <w:lang w:val="az-Latn-AZ"/>
        </w:rPr>
        <w:t>Mahir.İsayev</w:t>
      </w:r>
      <w:hyperlink r:id="rId8"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9" w:history="1">
        <w:r w:rsidRPr="00E26855">
          <w:rPr>
            <w:rStyle w:val="a3"/>
            <w:rFonts w:ascii="Arial" w:hAnsi="Arial" w:cs="Arial"/>
            <w:b/>
            <w:shd w:val="clear" w:color="auto" w:fill="FAFAFA"/>
            <w:lang w:val="az-Latn-AZ"/>
          </w:rPr>
          <w:t>@asco.az</w:t>
        </w:r>
      </w:hyperlink>
    </w:p>
    <w:p w:rsidR="00335227" w:rsidRPr="00964338" w:rsidRDefault="00335227" w:rsidP="00335227">
      <w:pPr>
        <w:jc w:val="center"/>
        <w:rPr>
          <w:rFonts w:ascii="Arial" w:hAnsi="Arial" w:cs="Arial"/>
          <w:b/>
          <w:color w:val="000000"/>
          <w:lang w:val="az-Latn-AZ"/>
        </w:rPr>
      </w:pPr>
      <w:r>
        <w:rPr>
          <w:rFonts w:ascii="Arial" w:hAnsi="Arial" w:cs="Arial"/>
          <w:b/>
          <w:color w:val="000000"/>
          <w:lang w:val="az-Latn-AZ"/>
        </w:rPr>
        <w:t>Elnur Muxtarov</w:t>
      </w:r>
    </w:p>
    <w:p w:rsidR="00335227" w:rsidRPr="00964338" w:rsidRDefault="00335227" w:rsidP="00335227">
      <w:pPr>
        <w:jc w:val="center"/>
        <w:rPr>
          <w:rFonts w:ascii="Arial" w:hAnsi="Arial" w:cs="Arial"/>
          <w:b/>
          <w:color w:val="000000"/>
          <w:lang w:val="az-Latn-AZ"/>
        </w:rPr>
      </w:pPr>
      <w:r>
        <w:rPr>
          <w:rFonts w:ascii="Arial" w:hAnsi="Arial" w:cs="Arial"/>
          <w:b/>
          <w:color w:val="000000"/>
          <w:lang w:val="az-Latn-AZ"/>
        </w:rPr>
        <w:t>Tel: +99450 3767279</w:t>
      </w:r>
    </w:p>
    <w:p w:rsidR="00335227" w:rsidRDefault="00335227" w:rsidP="00335227">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Elnur.Muxtarov</w:t>
      </w:r>
      <w:hyperlink r:id="rId10" w:history="1">
        <w:r w:rsidRPr="00E26855">
          <w:rPr>
            <w:rStyle w:val="a3"/>
            <w:rFonts w:ascii="Arial" w:hAnsi="Arial" w:cs="Arial"/>
            <w:b/>
            <w:shd w:val="clear" w:color="auto" w:fill="FAFAFA"/>
            <w:lang w:val="az-Latn-AZ"/>
          </w:rPr>
          <w:t>@asco.az</w:t>
        </w:r>
      </w:hyperlink>
    </w:p>
    <w:p w:rsidR="00335227" w:rsidRDefault="00335227" w:rsidP="00C054E2">
      <w:pPr>
        <w:jc w:val="center"/>
        <w:rPr>
          <w:rStyle w:val="a3"/>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2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A5641"/>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1A24"/>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44096"/>
    <w:rsid w:val="00C855B4"/>
    <w:rsid w:val="00C91A51"/>
    <w:rsid w:val="00CB3CA3"/>
    <w:rsid w:val="00CD24B0"/>
    <w:rsid w:val="00CD301A"/>
    <w:rsid w:val="00CE3D4A"/>
    <w:rsid w:val="00CF6BB7"/>
    <w:rsid w:val="00D228D4"/>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509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2756">
      <w:bodyDiv w:val="1"/>
      <w:marLeft w:val="0"/>
      <w:marRight w:val="0"/>
      <w:marTop w:val="0"/>
      <w:marBottom w:val="0"/>
      <w:divBdr>
        <w:top w:val="none" w:sz="0" w:space="0" w:color="auto"/>
        <w:left w:val="none" w:sz="0" w:space="0" w:color="auto"/>
        <w:bottom w:val="none" w:sz="0" w:space="0" w:color="auto"/>
        <w:right w:val="none" w:sz="0" w:space="0" w:color="auto"/>
      </w:divBdr>
    </w:div>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Mahir.&#304;syaev@asco.az" TargetMode="External"/><Relationship Id="rId4" Type="http://schemas.openxmlformats.org/officeDocument/2006/relationships/webSettings" Target="webSettings.xml"/><Relationship Id="rId9" Type="http://schemas.openxmlformats.org/officeDocument/2006/relationships/hyperlink" Target="mailto:Mahir.&#304;sya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15</Pages>
  <Words>4153</Words>
  <Characters>23676</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62</cp:revision>
  <dcterms:created xsi:type="dcterms:W3CDTF">2022-01-05T14:01:00Z</dcterms:created>
  <dcterms:modified xsi:type="dcterms:W3CDTF">2023-09-13T12:34:00Z</dcterms:modified>
</cp:coreProperties>
</file>