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29D10CBE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ndə quraşdırılan radionaviqasiya avadanlıqları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 w:rsidR="00D278C5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ehtiyat hissələrin</w:t>
      </w:r>
      <w:r w:rsid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3D4F3B5B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89332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640DA6">
        <w:rPr>
          <w:rFonts w:ascii="Arial" w:hAnsi="Arial" w:cs="Arial"/>
          <w:b/>
          <w:sz w:val="24"/>
          <w:szCs w:val="24"/>
          <w:lang w:val="az-Latn-AZ" w:eastAsia="ru-RU"/>
        </w:rPr>
        <w:t>9</w:t>
      </w:r>
      <w:r w:rsidR="0089332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F223E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D17F4A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634A128B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40DA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40DA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D17F4A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D17F4A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640DA6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079FA036" w14:textId="2D54AA84" w:rsidR="00AE5082" w:rsidRPr="00640DA6" w:rsidRDefault="00AE5082" w:rsidP="009733BB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ƏDV-siz 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qiymətinin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11D1DD29" w14:textId="77777777" w:rsidR="00A52307" w:rsidRPr="00640DA6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443961" w:rsidRPr="00D17F4A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3DB902B6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40DA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40DA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D17F4A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7184B9F5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D17F4A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60132846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A5429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5429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D17F4A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59FCE377" w:rsidR="007D0D58" w:rsidRDefault="007D0D58" w:rsidP="00AE5082">
      <w:pPr>
        <w:rPr>
          <w:lang w:val="az-Latn-AZ"/>
        </w:rPr>
      </w:pPr>
    </w:p>
    <w:p w14:paraId="55AF247F" w14:textId="3B17F4ED" w:rsidR="00A5429C" w:rsidRDefault="00A5429C" w:rsidP="00AE5082">
      <w:pPr>
        <w:rPr>
          <w:lang w:val="az-Latn-AZ"/>
        </w:rPr>
      </w:pPr>
    </w:p>
    <w:p w14:paraId="211C0B4E" w14:textId="4BEA75B1" w:rsidR="00A5429C" w:rsidRDefault="00A5429C" w:rsidP="00AE5082">
      <w:pPr>
        <w:rPr>
          <w:lang w:val="az-Latn-AZ"/>
        </w:rPr>
      </w:pPr>
    </w:p>
    <w:p w14:paraId="7CB1F6A4" w14:textId="77777777" w:rsidR="00A5429C" w:rsidRDefault="00A5429C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5F829CD5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23A75E1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AB7889D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47C925AF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p w14:paraId="69EAAA1C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529"/>
        <w:gridCol w:w="2545"/>
        <w:gridCol w:w="708"/>
        <w:gridCol w:w="716"/>
      </w:tblGrid>
      <w:tr w:rsidR="00A5429C" w:rsidRPr="00BB076C" w14:paraId="1941BCF1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14:paraId="00811645" w14:textId="5BC9AA07" w:rsidR="00A5429C" w:rsidRPr="00BB076C" w:rsidRDefault="00A5429C" w:rsidP="00A5429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73401580" w14:textId="628CB27F" w:rsidR="00A5429C" w:rsidRDefault="00A5429C" w:rsidP="00A5429C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Malın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545" w:type="dxa"/>
            <w:vAlign w:val="center"/>
          </w:tcPr>
          <w:p w14:paraId="7C85D7CB" w14:textId="78C64B78" w:rsidR="00A5429C" w:rsidRPr="00BB076C" w:rsidRDefault="00A5429C" w:rsidP="00A5429C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Növü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kodu</w:t>
            </w:r>
            <w:proofErr w:type="spellEnd"/>
          </w:p>
        </w:tc>
        <w:tc>
          <w:tcPr>
            <w:tcW w:w="708" w:type="dxa"/>
            <w:vAlign w:val="center"/>
          </w:tcPr>
          <w:p w14:paraId="35B47BB6" w14:textId="5F24F383" w:rsidR="00A5429C" w:rsidRPr="00BB076C" w:rsidRDefault="00A5429C" w:rsidP="00A5429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7FABD6C" w14:textId="1F2DF9F5" w:rsidR="00A5429C" w:rsidRPr="00BB076C" w:rsidRDefault="00A5429C" w:rsidP="00A5429C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Ölçü</w:t>
            </w:r>
            <w:proofErr w:type="spellEnd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vahidi</w:t>
            </w:r>
            <w:proofErr w:type="spellEnd"/>
          </w:p>
        </w:tc>
      </w:tr>
      <w:tr w:rsidR="00A5429C" w:rsidRPr="00BB076C" w14:paraId="0C813B85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  <w:hideMark/>
          </w:tcPr>
          <w:p w14:paraId="1BC6CC55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529" w:type="dxa"/>
            <w:shd w:val="clear" w:color="000000" w:fill="FFFFFF"/>
            <w:noWrap/>
            <w:vAlign w:val="center"/>
            <w:hideMark/>
          </w:tcPr>
          <w:p w14:paraId="34999E90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Batareya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 EPI</w:t>
            </w:r>
            <w:r w:rsidRPr="00BB076C">
              <w:rPr>
                <w:rFonts w:ascii="Times New Roman" w:eastAsia="Times New Roman" w:hAnsi="Times New Roman"/>
                <w:lang w:val="en-US"/>
              </w:rPr>
              <w:t xml:space="preserve">RB  E3a </w:t>
            </w:r>
          </w:p>
        </w:tc>
        <w:tc>
          <w:tcPr>
            <w:tcW w:w="2545" w:type="dxa"/>
            <w:vAlign w:val="center"/>
          </w:tcPr>
          <w:p w14:paraId="0464D14F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lang w:val="en-US"/>
              </w:rPr>
              <w:t>E3a</w:t>
            </w:r>
          </w:p>
        </w:tc>
        <w:tc>
          <w:tcPr>
            <w:tcW w:w="708" w:type="dxa"/>
            <w:vAlign w:val="center"/>
          </w:tcPr>
          <w:p w14:paraId="2ABE72C1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74532A6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BB076C">
              <w:rPr>
                <w:rFonts w:ascii="Times New Roman" w:eastAsia="Times New Roman" w:hAnsi="Times New Roman"/>
                <w:lang w:val="en-US"/>
              </w:rPr>
              <w:t>ədəd</w:t>
            </w:r>
            <w:proofErr w:type="spellEnd"/>
          </w:p>
        </w:tc>
      </w:tr>
      <w:tr w:rsidR="00A5429C" w:rsidRPr="00BB076C" w14:paraId="0B121293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  <w:hideMark/>
          </w:tcPr>
          <w:p w14:paraId="54D512AA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529" w:type="dxa"/>
            <w:shd w:val="clear" w:color="000000" w:fill="FFFFFF"/>
            <w:noWrap/>
            <w:vAlign w:val="center"/>
            <w:hideMark/>
          </w:tcPr>
          <w:p w14:paraId="0D39EA30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B076C">
              <w:rPr>
                <w:rFonts w:ascii="Times New Roman" w:eastAsia="Times New Roman" w:hAnsi="Times New Roman"/>
                <w:lang w:val="en-US"/>
              </w:rPr>
              <w:t>Batareya</w:t>
            </w:r>
            <w:proofErr w:type="spellEnd"/>
            <w:r w:rsidRPr="00BB07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076C">
              <w:rPr>
                <w:rFonts w:ascii="Times New Roman" w:eastAsia="Times New Roman" w:hAnsi="Times New Roman"/>
                <w:lang w:val="en-US"/>
              </w:rPr>
              <w:t>Sart</w:t>
            </w:r>
            <w:proofErr w:type="spellEnd"/>
            <w:r w:rsidRPr="00BB076C">
              <w:rPr>
                <w:rFonts w:ascii="Times New Roman" w:eastAsia="Times New Roman" w:hAnsi="Times New Roman"/>
                <w:lang w:val="en-US"/>
              </w:rPr>
              <w:t xml:space="preserve">  RT 9 </w:t>
            </w:r>
          </w:p>
        </w:tc>
        <w:tc>
          <w:tcPr>
            <w:tcW w:w="2545" w:type="dxa"/>
            <w:vAlign w:val="center"/>
          </w:tcPr>
          <w:p w14:paraId="01D9F288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lang w:val="en-US"/>
              </w:rPr>
              <w:t>RT 9</w:t>
            </w:r>
          </w:p>
        </w:tc>
        <w:tc>
          <w:tcPr>
            <w:tcW w:w="708" w:type="dxa"/>
            <w:vAlign w:val="center"/>
          </w:tcPr>
          <w:p w14:paraId="2139FCA3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89DB9A8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B076C">
              <w:rPr>
                <w:rFonts w:ascii="Times New Roman" w:eastAsia="Times New Roman" w:hAnsi="Times New Roman"/>
                <w:lang w:val="en-US"/>
              </w:rPr>
              <w:t>ədəd</w:t>
            </w:r>
            <w:proofErr w:type="spellEnd"/>
          </w:p>
        </w:tc>
      </w:tr>
      <w:tr w:rsidR="00A5429C" w:rsidRPr="00BB076C" w14:paraId="5E9F5E51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14:paraId="4F5F3B49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13724DF8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B076C">
              <w:rPr>
                <w:rFonts w:ascii="Times New Roman" w:hAnsi="Times New Roman"/>
              </w:rPr>
              <w:t>Yükləyici qurğu</w:t>
            </w:r>
            <w:r w:rsidRPr="00BB076C">
              <w:rPr>
                <w:rFonts w:ascii="Times New Roman" w:hAnsi="Times New Roman"/>
                <w:lang w:val="az-Latn-AZ"/>
              </w:rPr>
              <w:t xml:space="preserve"> MTCH-105</w:t>
            </w:r>
          </w:p>
        </w:tc>
        <w:tc>
          <w:tcPr>
            <w:tcW w:w="2545" w:type="dxa"/>
            <w:vAlign w:val="center"/>
          </w:tcPr>
          <w:p w14:paraId="2325CC88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hAnsi="Times New Roman"/>
                <w:lang w:val="az-Latn-AZ"/>
              </w:rPr>
              <w:t>MTCH-105</w:t>
            </w:r>
            <w:r>
              <w:rPr>
                <w:rFonts w:ascii="Times New Roman" w:hAnsi="Times New Roman"/>
                <w:lang w:val="az-Latn-AZ"/>
              </w:rPr>
              <w:t xml:space="preserve"> (CH-105)</w:t>
            </w:r>
          </w:p>
        </w:tc>
        <w:tc>
          <w:tcPr>
            <w:tcW w:w="708" w:type="dxa"/>
            <w:vAlign w:val="center"/>
          </w:tcPr>
          <w:p w14:paraId="7C24420A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6066229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B076C">
              <w:rPr>
                <w:rFonts w:ascii="Times New Roman" w:eastAsia="Times New Roman" w:hAnsi="Times New Roman"/>
                <w:lang w:val="az-Latn-AZ"/>
              </w:rPr>
              <w:t>ə</w:t>
            </w:r>
            <w:proofErr w:type="spellStart"/>
            <w:r w:rsidRPr="00BB076C">
              <w:rPr>
                <w:rFonts w:ascii="Times New Roman" w:eastAsia="Times New Roman" w:hAnsi="Times New Roman"/>
                <w:lang w:val="en-US"/>
              </w:rPr>
              <w:t>dəd</w:t>
            </w:r>
            <w:proofErr w:type="spellEnd"/>
          </w:p>
        </w:tc>
      </w:tr>
      <w:tr w:rsidR="00A5429C" w:rsidRPr="00BB076C" w14:paraId="5F5D61BC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14:paraId="22F23699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41255802" w14:textId="77777777" w:rsidR="00A5429C" w:rsidRPr="00BB076C" w:rsidRDefault="00A5429C" w:rsidP="00A5429C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K</w:t>
            </w:r>
            <w:r w:rsidRPr="00BB076C">
              <w:rPr>
                <w:rFonts w:ascii="Times New Roman" w:eastAsia="Times New Roman" w:hAnsi="Times New Roman"/>
                <w:lang w:val="en-US"/>
              </w:rPr>
              <w:t>abel</w:t>
            </w:r>
            <w:proofErr w:type="spellEnd"/>
          </w:p>
        </w:tc>
        <w:tc>
          <w:tcPr>
            <w:tcW w:w="2545" w:type="dxa"/>
            <w:vAlign w:val="center"/>
          </w:tcPr>
          <w:p w14:paraId="50AE290E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B076C">
              <w:rPr>
                <w:rFonts w:ascii="Times New Roman" w:eastAsia="Times New Roman" w:hAnsi="Times New Roman"/>
                <w:lang w:val="en-US"/>
              </w:rPr>
              <w:t>RG-6U</w:t>
            </w:r>
          </w:p>
        </w:tc>
        <w:tc>
          <w:tcPr>
            <w:tcW w:w="708" w:type="dxa"/>
            <w:vAlign w:val="center"/>
          </w:tcPr>
          <w:p w14:paraId="4469E03E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lang w:val="en-US"/>
              </w:rPr>
              <w:t>150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2CCC826A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az-Latn-AZ"/>
              </w:rPr>
            </w:pPr>
            <w:r w:rsidRPr="00BB076C">
              <w:rPr>
                <w:rFonts w:ascii="Times New Roman" w:eastAsia="Times New Roman" w:hAnsi="Times New Roman"/>
                <w:lang w:val="az-Latn-AZ"/>
              </w:rPr>
              <w:t>metr</w:t>
            </w:r>
          </w:p>
        </w:tc>
      </w:tr>
      <w:tr w:rsidR="00A5429C" w:rsidRPr="00BB076C" w14:paraId="02FE69BB" w14:textId="77777777" w:rsidTr="00A5429C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14:paraId="1C7B5426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529" w:type="dxa"/>
            <w:shd w:val="clear" w:color="000000" w:fill="FFFFFF"/>
            <w:noWrap/>
            <w:vAlign w:val="center"/>
          </w:tcPr>
          <w:p w14:paraId="0DC3D120" w14:textId="77777777" w:rsidR="00D17F4A" w:rsidRDefault="00D17F4A" w:rsidP="00A5429C">
            <w:pPr>
              <w:spacing w:after="0"/>
              <w:rPr>
                <w:rFonts w:ascii="Times New Roman" w:eastAsia="Times New Roman" w:hAnsi="Times New Roman"/>
                <w:lang w:val="en-US"/>
              </w:rPr>
            </w:pPr>
            <w:r w:rsidRPr="00D17F4A">
              <w:rPr>
                <w:rFonts w:ascii="Times New Roman" w:eastAsia="Times New Roman" w:hAnsi="Times New Roman"/>
                <w:lang w:val="en-US"/>
              </w:rPr>
              <w:t xml:space="preserve">Starless - yığında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perforasiya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edilmiş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kağız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proofErr w:type="gramStart"/>
            <w:r w:rsidRPr="00D17F4A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bookmarkStart w:id="1" w:name="_GoBack"/>
            <w:bookmarkEnd w:id="1"/>
            <w:r w:rsidRPr="00D17F4A">
              <w:rPr>
                <w:rFonts w:ascii="Times New Roman" w:eastAsia="Times New Roman" w:hAnsi="Times New Roman"/>
                <w:lang w:val="en-US"/>
              </w:rPr>
              <w:t xml:space="preserve"> (</w:t>
            </w:r>
            <w:proofErr w:type="spellStart"/>
            <w:proofErr w:type="gramEnd"/>
            <w:r w:rsidRPr="00D17F4A">
              <w:rPr>
                <w:rFonts w:ascii="Times New Roman" w:eastAsia="Times New Roman" w:hAnsi="Times New Roman"/>
                <w:lang w:val="en-US"/>
              </w:rPr>
              <w:t>Перфорированная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в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стопе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бумага Starless), </w:t>
            </w:r>
          </w:p>
          <w:p w14:paraId="4257EA08" w14:textId="38BB8AAD" w:rsidR="00A5429C" w:rsidRPr="00BB076C" w:rsidRDefault="00D17F4A" w:rsidP="00A5429C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Kursoqraf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Printeri</w:t>
            </w:r>
            <w:proofErr w:type="spellEnd"/>
            <w:r w:rsidRPr="00D17F4A">
              <w:rPr>
                <w:rFonts w:ascii="Times New Roman" w:eastAsia="Times New Roman" w:hAnsi="Times New Roman"/>
                <w:lang w:val="en-US"/>
              </w:rPr>
              <w:t xml:space="preserve">  LX-300 </w:t>
            </w:r>
            <w:proofErr w:type="spellStart"/>
            <w:r w:rsidRPr="00D17F4A">
              <w:rPr>
                <w:rFonts w:ascii="Times New Roman" w:eastAsia="Times New Roman" w:hAnsi="Times New Roman"/>
                <w:lang w:val="en-US"/>
              </w:rPr>
              <w:t>üçün</w:t>
            </w:r>
            <w:proofErr w:type="spellEnd"/>
          </w:p>
        </w:tc>
        <w:tc>
          <w:tcPr>
            <w:tcW w:w="2545" w:type="dxa"/>
            <w:vAlign w:val="center"/>
          </w:tcPr>
          <w:p w14:paraId="41B9FF89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240 мм×12", 60-65 г/м²</w:t>
            </w:r>
          </w:p>
        </w:tc>
        <w:tc>
          <w:tcPr>
            <w:tcW w:w="708" w:type="dxa"/>
            <w:vAlign w:val="center"/>
          </w:tcPr>
          <w:p w14:paraId="178D0151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BB076C"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7782C09" w14:textId="77777777" w:rsidR="00A5429C" w:rsidRPr="00BB076C" w:rsidRDefault="00A5429C" w:rsidP="00A5429C">
            <w:pPr>
              <w:spacing w:after="0"/>
              <w:rPr>
                <w:rFonts w:ascii="Times New Roman" w:eastAsia="Times New Roman" w:hAnsi="Times New Roman"/>
                <w:b/>
                <w:lang w:val="az-Latn-AZ"/>
              </w:rPr>
            </w:pPr>
            <w:r w:rsidRPr="00BB076C">
              <w:rPr>
                <w:rFonts w:ascii="Times New Roman" w:eastAsia="Times New Roman" w:hAnsi="Times New Roman"/>
                <w:lang w:val="az-Latn-AZ"/>
              </w:rPr>
              <w:t>ədəd</w:t>
            </w:r>
          </w:p>
        </w:tc>
      </w:tr>
    </w:tbl>
    <w:p w14:paraId="38D3433A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A8CDBA5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CD2CF1">
        <w:rPr>
          <w:rFonts w:ascii="Arial" w:hAnsi="Arial" w:cs="Arial"/>
          <w:bCs/>
          <w:lang w:val="az-Latn-AZ"/>
        </w:rPr>
        <w:t xml:space="preserve">ehtiyat hissələrin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34C44E50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</w:t>
      </w:r>
      <w:r w:rsidR="00CC2B16" w:rsidRPr="002A428C">
        <w:rPr>
          <w:rFonts w:ascii="Arial" w:hAnsi="Arial" w:cs="Arial"/>
          <w:b/>
          <w:bCs/>
          <w:lang w:val="az-Latn-AZ"/>
        </w:rPr>
        <w:t xml:space="preserve">2021 il və ya </w:t>
      </w:r>
      <w:r w:rsidR="0089332C" w:rsidRPr="002A428C">
        <w:rPr>
          <w:rFonts w:ascii="Arial" w:hAnsi="Arial" w:cs="Arial"/>
          <w:b/>
          <w:bCs/>
          <w:lang w:val="az-Latn-AZ"/>
        </w:rPr>
        <w:t>2022 il</w:t>
      </w:r>
      <w:r w:rsidR="00CC2B16" w:rsidRPr="00F07413">
        <w:rPr>
          <w:rFonts w:ascii="Arial" w:hAnsi="Arial" w:cs="Arial"/>
          <w:bCs/>
          <w:lang w:val="az-Latn-AZ"/>
        </w:rPr>
        <w:t xml:space="preserve"> istehsal ili olmalıdır.</w:t>
      </w:r>
    </w:p>
    <w:p w14:paraId="426DD081" w14:textId="20139AAE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dəniz təyinatlı (gəmilər üçün) olmalıdır. </w:t>
      </w:r>
    </w:p>
    <w:p w14:paraId="1C766FBB" w14:textId="5BDFEA69" w:rsidR="00CC2B16" w:rsidRPr="002A111E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>Alternativ</w:t>
      </w:r>
      <w:r>
        <w:rPr>
          <w:rFonts w:ascii="Arial" w:hAnsi="Arial" w:cs="Arial"/>
          <w:bCs/>
          <w:lang w:val="az-Latn-AZ"/>
        </w:rPr>
        <w:t xml:space="preserve"> istehsalçıların</w:t>
      </w:r>
      <w:r w:rsidRPr="002A111E">
        <w:rPr>
          <w:rFonts w:ascii="Arial" w:hAnsi="Arial" w:cs="Arial"/>
          <w:bCs/>
          <w:lang w:val="az-Latn-AZ"/>
        </w:rPr>
        <w:t xml:space="preserve"> </w:t>
      </w:r>
      <w:r w:rsidR="00CD2CF1">
        <w:rPr>
          <w:rFonts w:ascii="Arial" w:hAnsi="Arial" w:cs="Arial"/>
          <w:bCs/>
          <w:lang w:val="az-Latn-AZ"/>
        </w:rPr>
        <w:t>ehtiyat hissələri</w:t>
      </w:r>
      <w:r w:rsidRPr="002A111E">
        <w:rPr>
          <w:rFonts w:ascii="Arial" w:hAnsi="Arial" w:cs="Arial"/>
          <w:bCs/>
          <w:lang w:val="az-Latn-AZ"/>
        </w:rPr>
        <w:t xml:space="preserve"> qəbul </w:t>
      </w:r>
      <w:r w:rsidR="00CD2CF1">
        <w:rPr>
          <w:rFonts w:ascii="Arial" w:hAnsi="Arial" w:cs="Arial"/>
          <w:bCs/>
          <w:lang w:val="az-Latn-AZ"/>
        </w:rPr>
        <w:t>olunmur</w:t>
      </w:r>
      <w:r w:rsidRPr="002A111E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69FD2A4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3A09563" w14:textId="128FC0ED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A428C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40DA6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9332C"/>
    <w:rsid w:val="00904599"/>
    <w:rsid w:val="00923D30"/>
    <w:rsid w:val="0092454D"/>
    <w:rsid w:val="00932D9D"/>
    <w:rsid w:val="00993E0B"/>
    <w:rsid w:val="00A03334"/>
    <w:rsid w:val="00A40674"/>
    <w:rsid w:val="00A52307"/>
    <w:rsid w:val="00A5429C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17F4A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57DF-DDC9-4D3E-B8DE-9DAEDD83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11</cp:revision>
  <dcterms:created xsi:type="dcterms:W3CDTF">2021-11-12T11:23:00Z</dcterms:created>
  <dcterms:modified xsi:type="dcterms:W3CDTF">2022-05-11T08:15:00Z</dcterms:modified>
</cp:coreProperties>
</file>