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647DC" w14:textId="77777777" w:rsidR="00980948" w:rsidRPr="00026E81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026E81">
        <w:rPr>
          <w:rFonts w:ascii="Times New Roman" w:eastAsia="Times New Roman" w:hAnsi="Times New Roman" w:cs="Times New Roman"/>
          <w:noProof/>
          <w:color w:val="050F21"/>
          <w:kern w:val="0"/>
          <w:sz w:val="25"/>
          <w14:ligatures w14:val="none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5DFB0A" w14:textId="6813B349" w:rsidR="00026E81" w:rsidRPr="00BA07B8" w:rsidRDefault="00BA07B8" w:rsidP="00026E81">
      <w:pPr>
        <w:spacing w:after="0" w:line="360" w:lineRule="auto"/>
        <w:ind w:left="1560" w:hanging="142"/>
        <w:jc w:val="center"/>
        <w:rPr>
          <w:rFonts w:ascii="Times New Roman" w:eastAsia="Times New Roman" w:hAnsi="Times New Roman" w:cs="Times New Roman"/>
          <w:b/>
          <w:color w:val="050F21"/>
          <w:kern w:val="0"/>
          <w:sz w:val="25"/>
          <w:szCs w:val="25"/>
          <w14:ligatures w14:val="none"/>
        </w:rPr>
      </w:pPr>
      <w:r w:rsidRPr="00BA07B8">
        <w:rPr>
          <w:rFonts w:ascii="Times New Roman" w:hAnsi="Times New Roman" w:cs="Times New Roman"/>
          <w:b/>
          <w:sz w:val="25"/>
          <w:szCs w:val="25"/>
          <w:lang w:val="az-Latn-AZ"/>
        </w:rPr>
        <w:t xml:space="preserve">ASCO-nun </w:t>
      </w:r>
      <w:r w:rsidRPr="00BA07B8">
        <w:rPr>
          <w:rFonts w:ascii="Times New Roman" w:hAnsi="Times New Roman" w:cs="Times New Roman"/>
          <w:b/>
          <w:sz w:val="25"/>
          <w:szCs w:val="25"/>
          <w:lang w:val="az-Latn-AZ" w:eastAsia="ru-RU"/>
        </w:rPr>
        <w:t xml:space="preserve">gəmilərində “GSM” şəbəkəsi vasitəsilə internetin </w:t>
      </w:r>
      <w:r w:rsidRPr="00BA07B8">
        <w:rPr>
          <w:rFonts w:ascii="Times New Roman" w:hAnsi="Times New Roman" w:cs="Times New Roman"/>
          <w:b/>
          <w:sz w:val="25"/>
          <w:szCs w:val="25"/>
          <w:lang w:val="az-Latn-AZ"/>
        </w:rPr>
        <w:t xml:space="preserve">təmin olunması xidmətlərinin (material daxil) </w:t>
      </w:r>
      <w:r w:rsidRPr="00BA07B8">
        <w:rPr>
          <w:rFonts w:ascii="Times New Roman" w:hAnsi="Times New Roman" w:cs="Times New Roman"/>
          <w:b/>
          <w:sz w:val="25"/>
          <w:szCs w:val="25"/>
          <w:lang w:val="az-Latn-AZ" w:eastAsia="ru-RU"/>
        </w:rPr>
        <w:t>satın alınması</w:t>
      </w:r>
      <w:r w:rsidRPr="00BA07B8">
        <w:rPr>
          <w:rFonts w:ascii="Times New Roman" w:eastAsia="Times New Roman" w:hAnsi="Times New Roman" w:cs="Times New Roman"/>
          <w:b/>
          <w:color w:val="050F21"/>
          <w:kern w:val="0"/>
          <w:sz w:val="25"/>
          <w:szCs w:val="25"/>
          <w14:ligatures w14:val="none"/>
        </w:rPr>
        <w:t xml:space="preserve"> 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məlumat</w:t>
      </w:r>
      <w:proofErr w:type="spellEnd"/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təşkilatın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adı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Azərbaycan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Xəzər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Dəniz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Gəmiçiliyi”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Qapalı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Səhmdar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Cəmiyyəti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təşkilatın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ünvanı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Baki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şəhəri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Səbail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rayonu</w:t>
      </w:r>
      <w:proofErr w:type="spellEnd"/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, Mikayil Useynov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küçəsi</w:t>
      </w:r>
      <w:proofErr w:type="spellEnd"/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adı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5FCDF288" w14:textId="77777777" w:rsidR="00BA07B8" w:rsidRPr="00BA07B8" w:rsidRDefault="00BA07B8" w:rsidP="00BA07B8">
      <w:pPr>
        <w:spacing w:after="0" w:line="360" w:lineRule="auto"/>
        <w:rPr>
          <w:rFonts w:ascii="Times New Roman" w:eastAsia="Times New Roman" w:hAnsi="Times New Roman" w:cs="Times New Roman"/>
          <w:bCs/>
          <w:color w:val="050F21"/>
          <w:kern w:val="0"/>
          <w:sz w:val="25"/>
          <w:szCs w:val="25"/>
          <w14:ligatures w14:val="none"/>
        </w:rPr>
      </w:pPr>
      <w:r w:rsidRPr="00BA07B8">
        <w:rPr>
          <w:rFonts w:ascii="Times New Roman" w:hAnsi="Times New Roman" w:cs="Times New Roman"/>
          <w:bCs/>
          <w:sz w:val="25"/>
          <w:szCs w:val="25"/>
          <w:lang w:val="az-Latn-AZ"/>
        </w:rPr>
        <w:t xml:space="preserve">ASCO-nun </w:t>
      </w:r>
      <w:r w:rsidRPr="00BA07B8">
        <w:rPr>
          <w:rFonts w:ascii="Times New Roman" w:hAnsi="Times New Roman" w:cs="Times New Roman"/>
          <w:bCs/>
          <w:sz w:val="25"/>
          <w:szCs w:val="25"/>
          <w:lang w:val="az-Latn-AZ" w:eastAsia="ru-RU"/>
        </w:rPr>
        <w:t xml:space="preserve">gəmilərində “GSM” şəbəkəsi vasitəsilə internetin </w:t>
      </w:r>
      <w:r w:rsidRPr="00BA07B8">
        <w:rPr>
          <w:rFonts w:ascii="Times New Roman" w:hAnsi="Times New Roman" w:cs="Times New Roman"/>
          <w:bCs/>
          <w:sz w:val="25"/>
          <w:szCs w:val="25"/>
          <w:lang w:val="az-Latn-AZ"/>
        </w:rPr>
        <w:t xml:space="preserve">təmin olunması xidmətlərinin (material daxil) </w:t>
      </w:r>
      <w:r w:rsidRPr="00BA07B8">
        <w:rPr>
          <w:rFonts w:ascii="Times New Roman" w:hAnsi="Times New Roman" w:cs="Times New Roman"/>
          <w:bCs/>
          <w:sz w:val="25"/>
          <w:szCs w:val="25"/>
          <w:lang w:val="az-Latn-AZ" w:eastAsia="ru-RU"/>
        </w:rPr>
        <w:t>satın alınması</w:t>
      </w:r>
      <w:r w:rsidRPr="00BA07B8">
        <w:rPr>
          <w:rFonts w:ascii="Times New Roman" w:eastAsia="Times New Roman" w:hAnsi="Times New Roman" w:cs="Times New Roman"/>
          <w:bCs/>
          <w:color w:val="050F21"/>
          <w:kern w:val="0"/>
          <w:sz w:val="25"/>
          <w:szCs w:val="25"/>
          <w14:ligatures w14:val="none"/>
        </w:rPr>
        <w:t xml:space="preserve"> 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386726A0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896921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</w:t>
      </w:r>
      <w:r w:rsidR="00BA07B8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/2025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31E64329" w14:textId="77777777" w:rsidR="00BA07B8" w:rsidRPr="00BA07B8" w:rsidRDefault="00BA07B8" w:rsidP="00BA07B8">
      <w:pPr>
        <w:pStyle w:val="1"/>
        <w:spacing w:after="0"/>
        <w:jc w:val="center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>Gəmilərdə LTE həll üzrə texniki tapşırıq</w:t>
      </w:r>
    </w:p>
    <w:p w14:paraId="10D448F6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 xml:space="preserve"> Zərflərin açılışı zamanı aşağıdakı sənədlər təqdim olunmalıdır:</w:t>
      </w:r>
    </w:p>
    <w:p w14:paraId="3AFFC907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Təklif edilən router və antenna avadanlıqları üzrə istehsalçının adından verilmiş MAF (Manufacturer Authorization Form) sənədi təqdim olunmalıdır.</w:t>
      </w:r>
    </w:p>
    <w:p w14:paraId="01CFEC36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MAF sənədi müəyyən məhsul qrupları üzrə rəsmi tərəfdaşlığı və distribütorluğu təsdiqləməlidir.</w:t>
      </w:r>
    </w:p>
    <w:p w14:paraId="20A57EDA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MAF sənədi istehsalçı tərəfindən imzalanmalı və möhürlənməlidir, PDF və ya orijinal nüsxə təqdim edilməlidir.</w:t>
      </w:r>
    </w:p>
    <w:p w14:paraId="0800439F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Təchizatçılar tərəfindən satınalma müqaviləsinin icrası üçün predmet üzrə ən azı 1 illik təcrübəni təsdiq edən sənəd (müqavilə,elektron qaimələr və təhvil təslim aktları) təqdim edilməlidir.</w:t>
      </w:r>
    </w:p>
    <w:p w14:paraId="0D2EEDC0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Təchizatçının  işçi qüvvəsinin olmasını təsdiq edən sənədlər təqdim olunmalıdır.</w:t>
      </w:r>
    </w:p>
    <w:p w14:paraId="5C63A10F" w14:textId="77777777" w:rsidR="00BA07B8" w:rsidRPr="00BA07B8" w:rsidRDefault="00BA07B8" w:rsidP="00BA07B8">
      <w:pPr>
        <w:pStyle w:val="a0"/>
        <w:numPr>
          <w:ilvl w:val="0"/>
          <w:numId w:val="0"/>
        </w:numPr>
        <w:spacing w:after="0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>Qeyd olunan sənədi ehtiva etməyən təkliflər müsabiqədən kənarlaşdırılır və qiymətləndirilmir.</w:t>
      </w:r>
    </w:p>
    <w:p w14:paraId="7526B322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</w:p>
    <w:p w14:paraId="68B314C3" w14:textId="77777777" w:rsidR="00BA07B8" w:rsidRPr="00BA07B8" w:rsidRDefault="00BA07B8" w:rsidP="00BA07B8">
      <w:pPr>
        <w:pStyle w:val="2"/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lastRenderedPageBreak/>
        <w:t>1.  Predmet üzrə ilkin məlumatlar:</w:t>
      </w:r>
    </w:p>
    <w:p w14:paraId="39306EF5" w14:textId="77777777" w:rsidR="00BA07B8" w:rsidRPr="00BA07B8" w:rsidRDefault="00BA07B8" w:rsidP="00BA07B8">
      <w:pPr>
        <w:pStyle w:val="af4"/>
        <w:spacing w:after="0" w:afterAutospacing="0"/>
        <w:rPr>
          <w:sz w:val="25"/>
          <w:szCs w:val="25"/>
        </w:rPr>
      </w:pPr>
      <w:r w:rsidRPr="00BA07B8">
        <w:rPr>
          <w:rStyle w:val="af3"/>
          <w:sz w:val="25"/>
          <w:szCs w:val="25"/>
        </w:rPr>
        <w:t>Məqsəd:</w:t>
      </w:r>
      <w:r w:rsidRPr="00BA07B8">
        <w:rPr>
          <w:sz w:val="25"/>
          <w:szCs w:val="25"/>
        </w:rPr>
        <w:br/>
        <w:t>40 (qırx) ədəd gəminin sahil zolağında və limanlarda yüksək sürətli və sabit 4G/5G/LTE əlaqəsi ilə təmin edilməsi, rəqəmsal rabitənin fasiləsiz saxlanılması və şəbəkə avadanlıqlarının dəniz və çətin mühitlərdə etibarlı işləməsinin təmin olunması.</w:t>
      </w:r>
    </w:p>
    <w:p w14:paraId="121D78FC" w14:textId="77777777" w:rsidR="00BA07B8" w:rsidRPr="00BA07B8" w:rsidRDefault="00BA07B8" w:rsidP="00BA07B8">
      <w:pPr>
        <w:pStyle w:val="af4"/>
        <w:spacing w:after="0" w:afterAutospacing="0"/>
        <w:rPr>
          <w:sz w:val="25"/>
          <w:szCs w:val="25"/>
        </w:rPr>
      </w:pPr>
      <w:r w:rsidRPr="00BA07B8">
        <w:rPr>
          <w:rStyle w:val="af3"/>
          <w:sz w:val="25"/>
          <w:szCs w:val="25"/>
        </w:rPr>
        <w:t>Təchizat tələbləri:</w:t>
      </w:r>
    </w:p>
    <w:p w14:paraId="0FB71612" w14:textId="77777777" w:rsidR="00BA07B8" w:rsidRPr="00BA07B8" w:rsidRDefault="00BA07B8" w:rsidP="00BA07B8">
      <w:pPr>
        <w:pStyle w:val="af4"/>
        <w:numPr>
          <w:ilvl w:val="0"/>
          <w:numId w:val="8"/>
        </w:numPr>
        <w:spacing w:after="0" w:afterAutospacing="0"/>
        <w:rPr>
          <w:sz w:val="25"/>
          <w:szCs w:val="25"/>
        </w:rPr>
      </w:pPr>
      <w:r w:rsidRPr="00BA07B8">
        <w:rPr>
          <w:rStyle w:val="af3"/>
          <w:sz w:val="25"/>
          <w:szCs w:val="25"/>
        </w:rPr>
        <w:t>I qrup – 20 ədəd gəmi</w:t>
      </w:r>
    </w:p>
    <w:p w14:paraId="7DD65EB1" w14:textId="77777777" w:rsidR="00BA07B8" w:rsidRPr="00BA07B8" w:rsidRDefault="00BA07B8" w:rsidP="00BA07B8">
      <w:pPr>
        <w:pStyle w:val="af4"/>
        <w:numPr>
          <w:ilvl w:val="1"/>
          <w:numId w:val="9"/>
        </w:numPr>
        <w:spacing w:after="0" w:afterAutospacing="0"/>
        <w:rPr>
          <w:sz w:val="25"/>
          <w:szCs w:val="25"/>
        </w:rPr>
      </w:pPr>
      <w:r w:rsidRPr="00BA07B8">
        <w:rPr>
          <w:sz w:val="25"/>
          <w:szCs w:val="25"/>
        </w:rPr>
        <w:t>Hər biri 4 SIM kart dəstəkləyən şəbəkə avadanlığı ilə təchiz olunmalıdır;</w:t>
      </w:r>
    </w:p>
    <w:p w14:paraId="23FBA84F" w14:textId="77777777" w:rsidR="00BA07B8" w:rsidRPr="00BA07B8" w:rsidRDefault="00BA07B8" w:rsidP="00BA07B8">
      <w:pPr>
        <w:pStyle w:val="af4"/>
        <w:numPr>
          <w:ilvl w:val="1"/>
          <w:numId w:val="9"/>
        </w:numPr>
        <w:spacing w:after="0" w:afterAutospacing="0"/>
        <w:rPr>
          <w:sz w:val="25"/>
          <w:szCs w:val="25"/>
        </w:rPr>
      </w:pPr>
      <w:r w:rsidRPr="00BA07B8">
        <w:rPr>
          <w:sz w:val="25"/>
          <w:szCs w:val="25"/>
        </w:rPr>
        <w:t>Sahildən maksimal məsafədə belə sabit və fasiləsiz qoşulmanı təmin edən həll ilə təmin edilməlidir.</w:t>
      </w:r>
    </w:p>
    <w:p w14:paraId="0874A9DB" w14:textId="77777777" w:rsidR="00BA07B8" w:rsidRPr="00BA07B8" w:rsidRDefault="00BA07B8" w:rsidP="00BA07B8">
      <w:pPr>
        <w:pStyle w:val="af4"/>
        <w:numPr>
          <w:ilvl w:val="0"/>
          <w:numId w:val="8"/>
        </w:numPr>
        <w:spacing w:after="0" w:afterAutospacing="0"/>
        <w:rPr>
          <w:sz w:val="25"/>
          <w:szCs w:val="25"/>
        </w:rPr>
      </w:pPr>
      <w:r w:rsidRPr="00BA07B8">
        <w:rPr>
          <w:rStyle w:val="af3"/>
          <w:sz w:val="25"/>
          <w:szCs w:val="25"/>
        </w:rPr>
        <w:t>II qrup – 20 ədəd gəmi</w:t>
      </w:r>
    </w:p>
    <w:p w14:paraId="7EA4F126" w14:textId="77777777" w:rsidR="00BA07B8" w:rsidRPr="00BA07B8" w:rsidRDefault="00BA07B8" w:rsidP="00BA07B8">
      <w:pPr>
        <w:pStyle w:val="af4"/>
        <w:numPr>
          <w:ilvl w:val="1"/>
          <w:numId w:val="10"/>
        </w:numPr>
        <w:spacing w:after="0" w:afterAutospacing="0"/>
        <w:rPr>
          <w:sz w:val="25"/>
          <w:szCs w:val="25"/>
        </w:rPr>
      </w:pPr>
      <w:r w:rsidRPr="00BA07B8">
        <w:rPr>
          <w:sz w:val="25"/>
          <w:szCs w:val="25"/>
        </w:rPr>
        <w:t>Hər biri 2 SIM kart dəstəkləyən şəbəkə avadanlığı ilə təchiz olunmalıdır;</w:t>
      </w:r>
    </w:p>
    <w:p w14:paraId="18C440A8" w14:textId="77777777" w:rsidR="00BA07B8" w:rsidRPr="00BA07B8" w:rsidRDefault="00BA07B8" w:rsidP="00BA07B8">
      <w:pPr>
        <w:pStyle w:val="af4"/>
        <w:numPr>
          <w:ilvl w:val="1"/>
          <w:numId w:val="10"/>
        </w:numPr>
        <w:spacing w:after="0" w:afterAutospacing="0"/>
        <w:rPr>
          <w:sz w:val="25"/>
          <w:szCs w:val="25"/>
        </w:rPr>
      </w:pPr>
      <w:r w:rsidRPr="00BA07B8">
        <w:rPr>
          <w:sz w:val="25"/>
          <w:szCs w:val="25"/>
        </w:rPr>
        <w:t>Stabil və yüksək sürətli rabitə bağlantısını təmin edən həll ilə təmin edilməlidir.</w:t>
      </w:r>
    </w:p>
    <w:p w14:paraId="3BF13EA1" w14:textId="77777777" w:rsidR="00BA07B8" w:rsidRPr="00BA07B8" w:rsidRDefault="00BA07B8" w:rsidP="00BA07B8">
      <w:pPr>
        <w:pStyle w:val="2"/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2. Avadanlıq Siyahısı</w:t>
      </w:r>
    </w:p>
    <w:p w14:paraId="30FC78E9" w14:textId="77777777" w:rsidR="00BA07B8" w:rsidRPr="00BA07B8" w:rsidRDefault="00BA07B8" w:rsidP="00BA07B8">
      <w:pPr>
        <w:pStyle w:val="a"/>
        <w:numPr>
          <w:ilvl w:val="0"/>
          <w:numId w:val="0"/>
        </w:numPr>
        <w:spacing w:after="0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 xml:space="preserve">5G/LTE Router </w:t>
      </w:r>
    </w:p>
    <w:p w14:paraId="60B754FD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 1. 300 Mbps-dək sürət təmin edən LTE Cat 6 modem (Fiziki və ya eSİM vasitəsi ilə)</w:t>
      </w:r>
    </w:p>
    <w:p w14:paraId="74445FA6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2. Dual SIM dəstəyi ilə failover (avtomatik keçid), yük balanslaşdırma (load balancing), band kilidləmə və birdən çox APN idarəetməsi mümkün olmalidir </w:t>
      </w:r>
    </w:p>
    <w:p w14:paraId="7E16592A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3. FDD və TDD LTE tezlikləri, 3G (UMTS) şəbəkələri ilə uyğunluq təmin etməlidir</w:t>
      </w:r>
    </w:p>
    <w:p w14:paraId="3A6795D2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4. Wi-Fi 802.11ac Wave 2 texnologiyası, 2.4/5GHz dual band və MU-MIMO funksionallığı ilə geniş əhatə və sürətli əlaqə yaratmalıdır</w:t>
      </w:r>
    </w:p>
    <w:p w14:paraId="32EB72FB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5. 5 ədəd Gigabit Ethernet port; 1 port passiv PoE-ni dəstəkləməlidir</w:t>
      </w:r>
    </w:p>
    <w:p w14:paraId="0DA6CAEC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6. GPS, GLONASS, BeiDou və Galileo kimi qlobal naviqasiya sistemləri üçün GNSS antena dəstəyi olmalıdır</w:t>
      </w:r>
    </w:p>
    <w:p w14:paraId="52C37B00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7. LTE, Wi-Fi və GNSS antena birləşdiriciləri üçün SMA və RP-SMA interfeysləri mövcud olmalıdır</w:t>
      </w:r>
    </w:p>
    <w:p w14:paraId="3052A2D7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8. 9–50 VDC enerji ilə qidalanma, şok və polarite qoruması təmin edilməlidir </w:t>
      </w:r>
    </w:p>
    <w:p w14:paraId="6D3DE4E6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9. -40°C-dən +75°C-yə qədər temperaturda işləyir, sənaye standartlarına uyğun IP30 korpusa malik olmalıdır</w:t>
      </w:r>
    </w:p>
    <w:p w14:paraId="7A8340BD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10. DİN rels və səthə montaj , texniki bölmələrdə quraşdırma asanlığı təqdim etməlidir</w:t>
      </w:r>
    </w:p>
    <w:p w14:paraId="18579629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11. Avadanlıq BGP, OSPF, RIP, VLAN, VPN (OpenVPN, IPsec, WireGuard), firewall, SNMP və MQTT kimi qabaqcıl şəbəkə funksiyalarını dəstəkləməlidir </w:t>
      </w:r>
    </w:p>
    <w:p w14:paraId="73287457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12. Routerlərin İMEİ nömrələri qeydiyyatdan keçirilməlidir</w:t>
      </w:r>
    </w:p>
    <w:p w14:paraId="72041873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13. Routerləri mərkəzləşdirilmiş şəkildə idarə etmək üçün platformaya malik olmalıdır</w:t>
      </w:r>
    </w:p>
    <w:p w14:paraId="222AF4E2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</w:p>
    <w:p w14:paraId="65013460" w14:textId="77777777" w:rsidR="00BA07B8" w:rsidRPr="00BA07B8" w:rsidRDefault="00BA07B8" w:rsidP="00BA07B8">
      <w:pPr>
        <w:pStyle w:val="a"/>
        <w:numPr>
          <w:ilvl w:val="0"/>
          <w:numId w:val="0"/>
        </w:numPr>
        <w:spacing w:after="0"/>
        <w:ind w:left="360" w:hanging="360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 xml:space="preserve">High-Gain Omni-directional Marine Antenna </w:t>
      </w:r>
    </w:p>
    <w:p w14:paraId="7A434281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1. Tezlik diapazonu 410 MHz-dən 4200 MHz-ə qədər uzanır, 5G/4G/3G əlaqələrini dəstəkləməlidir </w:t>
      </w:r>
    </w:p>
    <w:p w14:paraId="015B43D5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2. Antena 2x2 MIMO funksionallığı ilə LTE və 5G performansını yaxşılaşdırmalıdır</w:t>
      </w:r>
    </w:p>
    <w:p w14:paraId="2545E453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3. Minimal qazanc ~5.8 dBi-dir, sabit və effektiv siqnal təmin etməlidir</w:t>
      </w:r>
    </w:p>
    <w:p w14:paraId="0555027F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4. Linear polarizasiyalı və omni-yönlü quruluşu ilə geniş əhatə sahəsinə malik olmalıdır</w:t>
      </w:r>
    </w:p>
    <w:p w14:paraId="294D85E9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5. IP68 sertifikatlı korpusu dənizdə və sahil mühitində etibarlı işləməyi təmin etməlidir</w:t>
      </w:r>
    </w:p>
    <w:p w14:paraId="1E170D95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6. UV dayanıqlı korpus, duzlu su və günəşə qarşı mühafizə təmin etməlidir </w:t>
      </w:r>
    </w:p>
    <w:p w14:paraId="7570C55C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7. 1''-14 TPI marine adapter və ya L-braket vasitəsilə montaj olunmalıdır </w:t>
      </w:r>
    </w:p>
    <w:p w14:paraId="025053C6" w14:textId="77777777" w:rsidR="00BA07B8" w:rsidRPr="00BA07B8" w:rsidRDefault="00BA07B8" w:rsidP="00BA07B8">
      <w:pPr>
        <w:pStyle w:val="a"/>
        <w:numPr>
          <w:ilvl w:val="0"/>
          <w:numId w:val="0"/>
        </w:numPr>
        <w:spacing w:after="0"/>
        <w:ind w:left="360" w:hanging="360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 xml:space="preserve">Koaksial Kabel və aksessuarlar </w:t>
      </w:r>
    </w:p>
    <w:p w14:paraId="5EAA79AB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1. Kabel aşağı siqnal itkisi ilə (LMR-400 və ya bənzəri) uzun məsafəli siqnal ötürülməsini təmin etməlidir </w:t>
      </w:r>
    </w:p>
    <w:p w14:paraId="4D0A6B71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2. Hər iki ucunda montaj olunmuş SMA və ya N-Type konnektorlar ilə təslim edilməlidir</w:t>
      </w:r>
    </w:p>
    <w:p w14:paraId="23C8A21F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3. Kabel UV şüalarına və dəniz mühitindəki duzlu rütubətə qarşı qorunmalıdır</w:t>
      </w:r>
    </w:p>
    <w:p w14:paraId="63005175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4  Kabelin uzunluğu, siqnal itkisini nəzərə alaraq, antena ilə router arasındakı optimal məsafəyə uyğun seçilməlidir</w:t>
      </w:r>
    </w:p>
    <w:p w14:paraId="1E41D950" w14:textId="77777777" w:rsidR="00BA07B8" w:rsidRPr="00BA07B8" w:rsidRDefault="00BA07B8" w:rsidP="00BA07B8">
      <w:pPr>
        <w:pStyle w:val="a"/>
        <w:numPr>
          <w:ilvl w:val="0"/>
          <w:numId w:val="0"/>
        </w:numPr>
        <w:spacing w:after="0"/>
        <w:ind w:left="360" w:hanging="360"/>
        <w:rPr>
          <w:rFonts w:ascii="Times New Roman" w:hAnsi="Times New Roman" w:cs="Times New Roman"/>
          <w:b/>
          <w:bCs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b/>
          <w:bCs/>
          <w:sz w:val="25"/>
          <w:szCs w:val="25"/>
          <w:lang w:val="az-Latn-AZ"/>
        </w:rPr>
        <w:t xml:space="preserve">Mərkəzləşmiş İdarəetmə Sistemi lisenziyası (3 illik) </w:t>
      </w:r>
    </w:p>
    <w:p w14:paraId="5F3A8370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1. Lisenziya bulud əsaslı idarəetmə və monitorinq sisteminə 3 illik çıxış təmin etməlidir </w:t>
      </w:r>
    </w:p>
    <w:p w14:paraId="62D1546D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2. Hər bir lisenziya ayrıca router üçün ayrılır və həmin cihazın texniki vəziyyəti, bağlantı statistikası, siqnal səviyyəsi və istismar durumu real vaxt rejimində izlənilməlidir</w:t>
      </w:r>
    </w:p>
    <w:p w14:paraId="13A0B34A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3. Sistem firmware yenilənməsi, uzaqdan reboot, konfiqurasiya ehtiyat nüsxəsi  və bərpa funksiyalarını dəstəkləməlidir</w:t>
      </w:r>
    </w:p>
    <w:p w14:paraId="170AE19F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 xml:space="preserve">• 4. Təhlükəsizlik üzrə modullar daxilində SNMP, VPN statusu, firewall hadisələri və digər sistem qeydləri barədə məlumat təqdim olunmalıdır </w:t>
      </w:r>
    </w:p>
    <w:p w14:paraId="177E4C08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5. Lisenziya müddəti ərzində istifadəçi interfeysi və hesabat sistemləri üzərindən tam təhlil, istismar statistikası və avadanlıqlar üzrə performans hesabatları əldə etmək mümkündür.</w:t>
      </w:r>
    </w:p>
    <w:p w14:paraId="63379C61" w14:textId="77777777" w:rsidR="00BA07B8" w:rsidRPr="00BA07B8" w:rsidRDefault="00BA07B8" w:rsidP="00BA07B8">
      <w:pPr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• 6. Sistem informasiya təhlükəsizliyi standartlarına uyğun olaraq şifrələnmiş bağlantı və istifadəçi idarəetməsi təmin edir.</w:t>
      </w:r>
    </w:p>
    <w:p w14:paraId="67772E65" w14:textId="77777777" w:rsidR="00BA07B8" w:rsidRPr="00BA07B8" w:rsidRDefault="00BA07B8" w:rsidP="00BA07B8">
      <w:pPr>
        <w:pStyle w:val="2"/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3. Quraşdırma tələbləri:</w:t>
      </w:r>
    </w:p>
    <w:p w14:paraId="623BCDE1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Antena yüksək və maneəsiz nöqtəyə quraşdırılmalı, korroziyaya davamlı montaj ilə bərkidilməlidir.</w:t>
      </w:r>
    </w:p>
    <w:p w14:paraId="2B560DE0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Antena ilə əlaqə kabeli qısa olmalı, LMR-400 və ya oxşar keyfiyyətli kabellər istifadə olunmalıdır.</w:t>
      </w:r>
    </w:p>
    <w:p w14:paraId="1F5F1BC0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Router və digər avadanlıqlar qorunan şəkildə yerləşdirilməlidir.</w:t>
      </w:r>
    </w:p>
    <w:p w14:paraId="1EB85245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Qidalanma sistemi avadanlığın texniki tələblərinə uyğunlaşdırılmalıdır.</w:t>
      </w:r>
    </w:p>
    <w:p w14:paraId="2038D96A" w14:textId="77777777" w:rsidR="00BA07B8" w:rsidRPr="00BA07B8" w:rsidRDefault="00BA07B8" w:rsidP="00BA07B8">
      <w:pPr>
        <w:pStyle w:val="2"/>
        <w:spacing w:after="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lastRenderedPageBreak/>
        <w:t>4. İstismar Sənədləri:</w:t>
      </w:r>
    </w:p>
    <w:p w14:paraId="3FF981C3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CE, RoHS və IP dərəcəli uyğunluq sertifikatları</w:t>
      </w:r>
    </w:p>
    <w:p w14:paraId="61F3EFE7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İstehsalçı tərəfindən təqdim olunmuş quraşdırma və istismar təlimatları</w:t>
      </w:r>
    </w:p>
    <w:p w14:paraId="6647577E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Elektrik bağlantı və topoloji sxemlər</w:t>
      </w:r>
    </w:p>
    <w:p w14:paraId="59F47029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İlkin sınaq və test protokolları</w:t>
      </w:r>
    </w:p>
    <w:p w14:paraId="117FCA9C" w14:textId="77777777" w:rsidR="00BA07B8" w:rsidRPr="00BA07B8" w:rsidRDefault="00BA07B8" w:rsidP="00BA07B8">
      <w:pPr>
        <w:pStyle w:val="a0"/>
        <w:tabs>
          <w:tab w:val="num" w:pos="360"/>
        </w:tabs>
        <w:spacing w:after="0"/>
        <w:ind w:left="360" w:hanging="360"/>
        <w:rPr>
          <w:rFonts w:ascii="Times New Roman" w:hAnsi="Times New Roman" w:cs="Times New Roman"/>
          <w:sz w:val="25"/>
          <w:szCs w:val="25"/>
          <w:lang w:val="az-Latn-AZ"/>
        </w:rPr>
      </w:pPr>
      <w:r w:rsidRPr="00BA07B8">
        <w:rPr>
          <w:rFonts w:ascii="Times New Roman" w:hAnsi="Times New Roman" w:cs="Times New Roman"/>
          <w:sz w:val="25"/>
          <w:szCs w:val="25"/>
          <w:lang w:val="az-Latn-AZ"/>
        </w:rPr>
        <w:t>Texniki dəstək və istismar üzrə təlimatlar</w:t>
      </w:r>
    </w:p>
    <w:p w14:paraId="2CBEE1B9" w14:textId="77777777" w:rsidR="00BA07B8" w:rsidRPr="00BA07B8" w:rsidRDefault="00BA07B8" w:rsidP="00BA07B8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szCs w:val="25"/>
          <w:lang w:val="az-Latn-AZ"/>
          <w14:ligatures w14:val="none"/>
        </w:rPr>
      </w:pPr>
    </w:p>
    <w:p w14:paraId="1E35F63D" w14:textId="77777777" w:rsidR="00CA4D8F" w:rsidRPr="00BA07B8" w:rsidRDefault="00CA4D8F" w:rsidP="00BA07B8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az-Latn-AZ"/>
          <w14:ligatures w14:val="none"/>
        </w:rPr>
      </w:pPr>
    </w:p>
    <w:p w14:paraId="3280217F" w14:textId="77777777" w:rsidR="00E0656D" w:rsidRDefault="00E0656D" w:rsidP="00E0656D">
      <w:pPr>
        <w:pStyle w:val="a9"/>
        <w:spacing w:after="0" w:line="240" w:lineRule="auto"/>
        <w:ind w:left="709" w:hanging="9"/>
        <w:jc w:val="both"/>
        <w:rPr>
          <w:lang w:val="az-Latn-AZ"/>
        </w:rPr>
      </w:pPr>
    </w:p>
    <w:p w14:paraId="2E0D1FA4" w14:textId="53D30425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predmetinin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ehtimal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olunan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qiyməti</w:t>
      </w:r>
      <w:proofErr w:type="spellEnd"/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6152DFF3" w14:textId="77777777" w:rsidR="007C6B25" w:rsidRDefault="007C6B25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</w:p>
    <w:p w14:paraId="6CA84AA2" w14:textId="78AAE61E" w:rsidR="00E0656D" w:rsidRPr="00E0656D" w:rsidRDefault="00D41E00" w:rsidP="00E0656D">
      <w:pPr>
        <w:tabs>
          <w:tab w:val="left" w:pos="1530"/>
        </w:tabs>
        <w:jc w:val="both"/>
        <w:rPr>
          <w:rFonts w:ascii="Arial" w:hAnsi="Arial" w:cs="Arial"/>
          <w:bCs/>
          <w:lang w:val="az-Latn-AZ"/>
        </w:rPr>
      </w:pPr>
      <w:bookmarkStart w:id="0" w:name="_Hlk211524510"/>
      <w:bookmarkStart w:id="1" w:name="_Hlk206429292"/>
      <w:r w:rsidRPr="00447399">
        <w:rPr>
          <w:rFonts w:ascii="Arial" w:hAnsi="Arial" w:cs="Arial"/>
          <w:lang w:val="az-Latn-AZ"/>
        </w:rPr>
        <w:t>208 264,60</w:t>
      </w:r>
      <w:r>
        <w:rPr>
          <w:rFonts w:ascii="Arial" w:hAnsi="Arial" w:cs="Arial"/>
          <w:lang w:val="az-Latn-AZ"/>
        </w:rPr>
        <w:t xml:space="preserve"> </w:t>
      </w:r>
      <w:r w:rsidRPr="00447399">
        <w:rPr>
          <w:rFonts w:ascii="Arial" w:hAnsi="Arial" w:cs="Arial"/>
          <w:bCs/>
          <w:lang w:val="az-Latn-AZ"/>
        </w:rPr>
        <w:t xml:space="preserve">AZN </w:t>
      </w:r>
      <w:r w:rsidR="00026E81">
        <w:rPr>
          <w:rFonts w:ascii="Arial" w:hAnsi="Arial" w:cs="Arial"/>
          <w:lang w:val="az-Latn-AZ"/>
        </w:rPr>
        <w:t xml:space="preserve">ƏDV-siz </w:t>
      </w:r>
      <w:bookmarkEnd w:id="0"/>
      <w:bookmarkEnd w:id="1"/>
      <w:r w:rsidRPr="00447399">
        <w:rPr>
          <w:rFonts w:ascii="Arial" w:hAnsi="Arial" w:cs="Arial"/>
          <w:bCs/>
          <w:lang w:val="az-Latn-AZ"/>
        </w:rPr>
        <w:t>(iki yüz səkkiz min iki yüz altmış dörd manat 60 qəpik)</w:t>
      </w:r>
    </w:p>
    <w:p w14:paraId="4A0F802A" w14:textId="4FB4B2F5" w:rsidR="00F17170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43895C82" w:rsidR="00292D63" w:rsidRPr="006E63F6" w:rsidRDefault="00026E81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</w:t>
      </w:r>
      <w:r w:rsidR="00D41E0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5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.11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.2025 </w:t>
      </w:r>
      <w:r w:rsidR="007C6B25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15</w:t>
      </w:r>
      <w:r w:rsidR="002527F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</w:t>
      </w:r>
      <w:r w:rsidR="00D41E00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00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3EEF2955" w:rsidR="00F17170" w:rsidRPr="006E63F6" w:rsidRDefault="00026E81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0</w:t>
      </w:r>
      <w:r w:rsidR="00287207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2</w:t>
      </w:r>
      <w:r w:rsidR="00E0656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.1</w:t>
      </w:r>
      <w:r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2</w:t>
      </w:r>
      <w:r w:rsidR="00F17170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.2025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 17:00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tender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təklifləri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Azərbaycan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dilinə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tərcümə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edilməlidir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olunma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üsulu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,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yeri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, son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tarixi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və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saatı</w:t>
      </w:r>
      <w:proofErr w:type="spellEnd"/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vaxtdan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gec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təqdim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olunan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zərflər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açılmadan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geri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 xml:space="preserve"> </w:t>
      </w:r>
      <w:proofErr w:type="spellStart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qaytarılacaqdır</w:t>
      </w:r>
      <w:proofErr w:type="spellEnd"/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40DF72A8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zərfdə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(1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əsli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və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1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surəti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olmaqla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287207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10</w:t>
      </w:r>
      <w:r w:rsidR="00E0656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.1</w:t>
      </w:r>
      <w:r w:rsidR="00026E81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2</w:t>
      </w:r>
      <w:r w:rsidR="00A5419B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.2025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-ci il, Bakı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vaxtı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ilə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saat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1</w:t>
      </w:r>
      <w:r w:rsidR="009F5F37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7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:00-a 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qədər</w:t>
      </w:r>
      <w:proofErr w:type="spellEnd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ASCO-</w:t>
      </w:r>
      <w:proofErr w:type="spellStart"/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ya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edilməlidir</w:t>
      </w:r>
      <w:proofErr w:type="spellEnd"/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açılış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tarixi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və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vaxtı</w:t>
      </w:r>
      <w:proofErr w:type="spellEnd"/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:</w:t>
      </w:r>
    </w:p>
    <w:p w14:paraId="7339111D" w14:textId="4E24497A" w:rsidR="00980948" w:rsidRPr="00DE5A3F" w:rsidRDefault="00287207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11</w:t>
      </w:r>
      <w:r w:rsidR="00292D63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</w:t>
      </w:r>
      <w:r w:rsidR="00E0656D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1</w:t>
      </w:r>
      <w:r w:rsidR="00026E81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2</w:t>
      </w:r>
      <w:r w:rsidR="00292D63" w:rsidRPr="00AA5DBE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.2025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2E49B328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İştirak</w:t>
      </w:r>
      <w:proofErr w:type="spellEnd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: </w:t>
      </w:r>
      <w:r w:rsidR="00287207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3</w:t>
      </w:r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50.00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ilkin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olaraq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əlavədəki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müraciət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məktubunu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tədim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etməli</w:t>
      </w:r>
      <w:proofErr w:type="spellEnd"/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,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tenderin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Əsas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Şərtlər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Toplusunu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əldə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etdikdən</w:t>
      </w:r>
      <w:proofErr w:type="spellEnd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sonra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təklifləri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təqdim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etmək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üçün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iştirak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ödəməlidirlər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.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sayının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üçdən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az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olmasına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görə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satınalmanın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baş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tutmadığı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hallar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istisna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olmaqla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,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iştirak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haqqı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heç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bir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halda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geri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proofErr w:type="spellStart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qaytarılmır</w:t>
      </w:r>
      <w:proofErr w:type="spellEnd"/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6D95581F" w14:textId="77777777" w:rsidR="00801978" w:rsidRDefault="00801978" w:rsidP="00E26429">
      <w:pPr>
        <w:rPr>
          <w:rFonts w:ascii="Times New Roman" w:hAnsi="Times New Roman" w:cs="Times New Roman"/>
          <w:lang w:val="az-Latn-AZ" w:eastAsia="ru-RU"/>
        </w:rPr>
      </w:pPr>
    </w:p>
    <w:p w14:paraId="02009E43" w14:textId="77777777" w:rsidR="00801978" w:rsidRDefault="00801978" w:rsidP="00E26429">
      <w:pPr>
        <w:rPr>
          <w:rFonts w:ascii="Times New Roman" w:hAnsi="Times New Roman" w:cs="Times New Roman"/>
          <w:lang w:val="az-Latn-AZ" w:eastAsia="ru-RU"/>
        </w:rPr>
      </w:pPr>
    </w:p>
    <w:p w14:paraId="3B1D806C" w14:textId="77777777" w:rsidR="00801978" w:rsidRDefault="00801978" w:rsidP="00E26429">
      <w:pPr>
        <w:rPr>
          <w:rFonts w:ascii="Times New Roman" w:hAnsi="Times New Roman" w:cs="Times New Roman"/>
          <w:lang w:val="az-Latn-AZ" w:eastAsia="ru-RU"/>
        </w:rPr>
      </w:pPr>
    </w:p>
    <w:p w14:paraId="47B6FB3C" w14:textId="6CC42071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lastRenderedPageBreak/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f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2"/>
              <w:spacing w:before="0"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68035EBF" w14:textId="22F3A5D7" w:rsidR="00026E81" w:rsidRPr="00026E81" w:rsidRDefault="00026E81" w:rsidP="00026E81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proofErr w:type="spellStart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Əlaqələndirici</w:t>
      </w:r>
      <w:proofErr w:type="spellEnd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şəxs</w:t>
      </w:r>
      <w:proofErr w:type="spellEnd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: </w:t>
      </w:r>
      <w:proofErr w:type="spellStart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</w:t>
      </w:r>
      <w:proofErr w:type="spellEnd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departamentinin</w:t>
      </w:r>
      <w:proofErr w:type="spellEnd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="00424284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aparıcı</w:t>
      </w:r>
      <w:proofErr w:type="spellEnd"/>
      <w:r w:rsidR="00424284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proofErr w:type="spellStart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mütəxəssisi</w:t>
      </w:r>
      <w:proofErr w:type="spellEnd"/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="00424284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Vüqar Cəlilov</w:t>
      </w:r>
    </w:p>
    <w:p w14:paraId="6456C284" w14:textId="7ED16D5C" w:rsidR="00026E81" w:rsidRPr="00026E81" w:rsidRDefault="00026E81" w:rsidP="00026E81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Tel: +9945</w:t>
      </w:r>
      <w:r w:rsidR="00424284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12296279</w:t>
      </w: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</w:p>
    <w:p w14:paraId="6F7128D4" w14:textId="39EC02BC" w:rsidR="00026E81" w:rsidRPr="00026E81" w:rsidRDefault="00026E81" w:rsidP="00424284">
      <w:pPr>
        <w:pStyle w:val="Paint"/>
        <w:tabs>
          <w:tab w:val="left" w:pos="720"/>
        </w:tabs>
        <w:spacing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E-mail: </w:t>
      </w:r>
      <w:hyperlink r:id="rId7" w:history="1">
        <w:r w:rsidR="00424284" w:rsidRPr="00424284">
          <w:rPr>
            <w:rStyle w:val="ae"/>
            <w:color w:val="000000" w:themeColor="text1"/>
            <w:u w:val="none"/>
            <w:lang w:val="az-Latn-AZ"/>
          </w:rPr>
          <w:t>vuqar.calilov@asco.az</w:t>
        </w:r>
      </w:hyperlink>
      <w:r w:rsidR="00424284">
        <w:rPr>
          <w:rFonts w:asciiTheme="minorHAnsi" w:hAnsiTheme="minorHAnsi"/>
          <w:color w:val="000000" w:themeColor="text1"/>
          <w:lang w:val="az-Latn-AZ"/>
        </w:rPr>
        <w:t xml:space="preserve"> </w:t>
      </w:r>
      <w:r w:rsidRPr="00026E81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hyperlink r:id="rId8" w:history="1">
        <w:r w:rsidRPr="00026E81">
          <w:rPr>
            <w:color w:val="050F21"/>
            <w:lang w:val="en-US" w:eastAsia="en-US"/>
          </w:rPr>
          <w:t>tender@asco.az</w:t>
        </w:r>
      </w:hyperlink>
    </w:p>
    <w:p w14:paraId="633835EA" w14:textId="77777777" w:rsidR="00026E81" w:rsidRDefault="00026E81" w:rsidP="00026E81">
      <w:pPr>
        <w:pStyle w:val="Paint"/>
        <w:tabs>
          <w:tab w:val="left" w:pos="720"/>
        </w:tabs>
        <w:spacing w:before="0" w:after="0"/>
        <w:rPr>
          <w:rFonts w:ascii="Arial" w:hAnsi="Arial" w:cs="Arial"/>
          <w:color w:val="292929"/>
          <w:kern w:val="0"/>
          <w:szCs w:val="24"/>
          <w:lang w:val="de-DE"/>
        </w:rPr>
      </w:pPr>
    </w:p>
    <w:p w14:paraId="379746D0" w14:textId="77777777" w:rsidR="00A5419B" w:rsidRPr="00AA5DBE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proofErr w:type="spellStart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Hüquqi</w:t>
      </w:r>
      <w:proofErr w:type="spellEnd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 </w:t>
      </w:r>
      <w:proofErr w:type="spellStart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məsələlər</w:t>
      </w:r>
      <w:proofErr w:type="spellEnd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 </w:t>
      </w:r>
      <w:proofErr w:type="spellStart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üzrə</w:t>
      </w:r>
      <w:proofErr w:type="spellEnd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:</w:t>
      </w:r>
    </w:p>
    <w:p w14:paraId="41847D98" w14:textId="2FDD03D8" w:rsidR="00A5419B" w:rsidRPr="00AA5DBE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Telefon </w:t>
      </w:r>
      <w:proofErr w:type="spellStart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nömrəsi</w:t>
      </w:r>
      <w:proofErr w:type="spellEnd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: +994 12 4043700 (</w:t>
      </w:r>
      <w:proofErr w:type="spellStart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daxili</w:t>
      </w:r>
      <w:proofErr w:type="spellEnd"/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: 1</w:t>
      </w:r>
      <w:r w:rsidR="007C6B25"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2</w:t>
      </w:r>
      <w:r w:rsidR="00026E81"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98</w:t>
      </w:r>
      <w:r w:rsidRPr="00AA5DB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)</w:t>
      </w:r>
    </w:p>
    <w:p w14:paraId="7AB607EC" w14:textId="12D2F681" w:rsidR="00292D63" w:rsidRPr="003E254E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</w:pPr>
      <w:r w:rsidRPr="003E254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Elektron </w:t>
      </w:r>
      <w:proofErr w:type="spellStart"/>
      <w:r w:rsidRPr="003E254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>ünvan</w:t>
      </w:r>
      <w:proofErr w:type="spellEnd"/>
      <w:r w:rsidRPr="003E254E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:lang w:val="de-DE"/>
          <w14:ligatures w14:val="none"/>
        </w:rPr>
        <w:t xml:space="preserve">: </w:t>
      </w:r>
      <w:hyperlink r:id="rId9" w:history="1">
        <w:r w:rsidRPr="003E254E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:lang w:val="de-DE"/>
            <w14:ligatures w14:val="none"/>
          </w:rPr>
          <w:t>tender@asco.az</w:t>
        </w:r>
      </w:hyperlink>
    </w:p>
    <w:p w14:paraId="09D8DD56" w14:textId="77777777" w:rsidR="00B45956" w:rsidRPr="003E254E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7AE11399" w14:textId="77777777" w:rsidR="00B45956" w:rsidRPr="003E254E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7FF675F4" w14:textId="77777777" w:rsidR="006D144F" w:rsidRPr="003E254E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4625906B" w14:textId="77777777" w:rsidR="00CA4D8F" w:rsidRPr="003E254E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:lang w:val="de-DE"/>
          <w14:ligatures w14:val="none"/>
        </w:rPr>
      </w:pPr>
    </w:p>
    <w:p w14:paraId="18CAF8C9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CF89FB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49AEA1F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793E796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26F85735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FE6902F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DEE54C2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15820271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3C5976EB" w14:textId="77777777" w:rsidR="007C6B25" w:rsidRDefault="007C6B25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</w:p>
    <w:p w14:paraId="5E1688FE" w14:textId="79F80EB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5CB5A37E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“__”_______2025-ci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C62DD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5D02066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DA703A"/>
    <w:multiLevelType w:val="multilevel"/>
    <w:tmpl w:val="7994A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F0A05"/>
    <w:multiLevelType w:val="multilevel"/>
    <w:tmpl w:val="C5F60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8F01DC5"/>
    <w:multiLevelType w:val="multilevel"/>
    <w:tmpl w:val="9426E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08102437">
    <w:abstractNumId w:val="8"/>
  </w:num>
  <w:num w:numId="2" w16cid:durableId="12221320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5645467">
    <w:abstractNumId w:val="6"/>
  </w:num>
  <w:num w:numId="4" w16cid:durableId="35013371">
    <w:abstractNumId w:val="7"/>
  </w:num>
  <w:num w:numId="5" w16cid:durableId="1277559626">
    <w:abstractNumId w:val="4"/>
  </w:num>
  <w:num w:numId="6" w16cid:durableId="1135490232">
    <w:abstractNumId w:val="1"/>
  </w:num>
  <w:num w:numId="7" w16cid:durableId="1061054039">
    <w:abstractNumId w:val="0"/>
  </w:num>
  <w:num w:numId="8" w16cid:durableId="1506359551">
    <w:abstractNumId w:val="5"/>
  </w:num>
  <w:num w:numId="9" w16cid:durableId="1578785755">
    <w:abstractNumId w:val="2"/>
  </w:num>
  <w:num w:numId="10" w16cid:durableId="57778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026E81"/>
    <w:rsid w:val="00075E9B"/>
    <w:rsid w:val="00125B0D"/>
    <w:rsid w:val="00164787"/>
    <w:rsid w:val="00165C4A"/>
    <w:rsid w:val="001B31CE"/>
    <w:rsid w:val="00205C1A"/>
    <w:rsid w:val="00225F59"/>
    <w:rsid w:val="002527F0"/>
    <w:rsid w:val="00287207"/>
    <w:rsid w:val="00292D63"/>
    <w:rsid w:val="00383853"/>
    <w:rsid w:val="003C7E6C"/>
    <w:rsid w:val="003D6CDE"/>
    <w:rsid w:val="003E254E"/>
    <w:rsid w:val="0041513A"/>
    <w:rsid w:val="00424284"/>
    <w:rsid w:val="00480C82"/>
    <w:rsid w:val="004B5F27"/>
    <w:rsid w:val="004C134D"/>
    <w:rsid w:val="004F0193"/>
    <w:rsid w:val="005D7A59"/>
    <w:rsid w:val="005E6D99"/>
    <w:rsid w:val="0065474A"/>
    <w:rsid w:val="006977F9"/>
    <w:rsid w:val="006D144F"/>
    <w:rsid w:val="006E2295"/>
    <w:rsid w:val="006E63F6"/>
    <w:rsid w:val="00700FA2"/>
    <w:rsid w:val="007418BE"/>
    <w:rsid w:val="007A286C"/>
    <w:rsid w:val="007A2CDF"/>
    <w:rsid w:val="007C6B25"/>
    <w:rsid w:val="00801978"/>
    <w:rsid w:val="00896921"/>
    <w:rsid w:val="008F0F4C"/>
    <w:rsid w:val="00922497"/>
    <w:rsid w:val="00980948"/>
    <w:rsid w:val="009F5F37"/>
    <w:rsid w:val="00A5419B"/>
    <w:rsid w:val="00AA5DBE"/>
    <w:rsid w:val="00B0612A"/>
    <w:rsid w:val="00B45956"/>
    <w:rsid w:val="00B94D74"/>
    <w:rsid w:val="00BA07B8"/>
    <w:rsid w:val="00BF260C"/>
    <w:rsid w:val="00C15236"/>
    <w:rsid w:val="00C41AB3"/>
    <w:rsid w:val="00C42778"/>
    <w:rsid w:val="00C80E29"/>
    <w:rsid w:val="00CA3A40"/>
    <w:rsid w:val="00CA4D8F"/>
    <w:rsid w:val="00D41E00"/>
    <w:rsid w:val="00D471AF"/>
    <w:rsid w:val="00D762FF"/>
    <w:rsid w:val="00D8624F"/>
    <w:rsid w:val="00DE5A3F"/>
    <w:rsid w:val="00E0656D"/>
    <w:rsid w:val="00E26429"/>
    <w:rsid w:val="00F068E8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1"/>
    <w:next w:val="a1"/>
    <w:link w:val="20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2"/>
    <w:link w:val="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2"/>
    <w:link w:val="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2"/>
    <w:link w:val="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2"/>
    <w:link w:val="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2"/>
    <w:link w:val="a5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Подзаголовок Знак"/>
    <w:basedOn w:val="a2"/>
    <w:link w:val="a7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1"/>
    <w:next w:val="a1"/>
    <w:link w:val="22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2"/>
    <w:link w:val="21"/>
    <w:uiPriority w:val="29"/>
    <w:rsid w:val="00292D63"/>
    <w:rPr>
      <w:i/>
      <w:iCs/>
      <w:color w:val="404040" w:themeColor="text1" w:themeTint="BF"/>
    </w:rPr>
  </w:style>
  <w:style w:type="paragraph" w:styleId="a9">
    <w:name w:val="List Paragraph"/>
    <w:basedOn w:val="a1"/>
    <w:uiPriority w:val="34"/>
    <w:qFormat/>
    <w:rsid w:val="00292D63"/>
    <w:pPr>
      <w:ind w:left="720"/>
      <w:contextualSpacing/>
    </w:pPr>
  </w:style>
  <w:style w:type="character" w:styleId="aa">
    <w:name w:val="Intense Emphasis"/>
    <w:basedOn w:val="a2"/>
    <w:uiPriority w:val="21"/>
    <w:qFormat/>
    <w:rsid w:val="00292D63"/>
    <w:rPr>
      <w:i/>
      <w:iCs/>
      <w:color w:val="0F4761" w:themeColor="accent1" w:themeShade="BF"/>
    </w:rPr>
  </w:style>
  <w:style w:type="paragraph" w:styleId="ab">
    <w:name w:val="Intense Quote"/>
    <w:basedOn w:val="a1"/>
    <w:next w:val="a1"/>
    <w:link w:val="ac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2"/>
    <w:link w:val="ab"/>
    <w:uiPriority w:val="30"/>
    <w:rsid w:val="00292D63"/>
    <w:rPr>
      <w:i/>
      <w:iCs/>
      <w:color w:val="0F4761" w:themeColor="accent1" w:themeShade="BF"/>
    </w:rPr>
  </w:style>
  <w:style w:type="character" w:styleId="ad">
    <w:name w:val="Intense Reference"/>
    <w:basedOn w:val="a2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2"/>
    <w:uiPriority w:val="99"/>
    <w:unhideWhenUsed/>
    <w:rsid w:val="00292D6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2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a2"/>
    <w:rsid w:val="00E26429"/>
  </w:style>
  <w:style w:type="table" w:styleId="af">
    <w:name w:val="Table Grid"/>
    <w:aliases w:val="Table 1,Test,TabelEcorys,Tabla"/>
    <w:basedOn w:val="a3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f0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f0">
    <w:name w:val="Body Text"/>
    <w:basedOn w:val="a1"/>
    <w:link w:val="af1"/>
    <w:uiPriority w:val="99"/>
    <w:semiHidden/>
    <w:unhideWhenUsed/>
    <w:rsid w:val="00B45956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B45956"/>
  </w:style>
  <w:style w:type="character" w:styleId="af2">
    <w:name w:val="Unresolved Mention"/>
    <w:basedOn w:val="a2"/>
    <w:uiPriority w:val="99"/>
    <w:semiHidden/>
    <w:unhideWhenUsed/>
    <w:rsid w:val="00026E81"/>
    <w:rPr>
      <w:color w:val="605E5C"/>
      <w:shd w:val="clear" w:color="auto" w:fill="E1DFDD"/>
    </w:rPr>
  </w:style>
  <w:style w:type="paragraph" w:styleId="a0">
    <w:name w:val="List Bullet"/>
    <w:basedOn w:val="a1"/>
    <w:uiPriority w:val="99"/>
    <w:unhideWhenUsed/>
    <w:rsid w:val="00BA07B8"/>
    <w:pPr>
      <w:numPr>
        <w:numId w:val="6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a">
    <w:name w:val="List Number"/>
    <w:basedOn w:val="a1"/>
    <w:uiPriority w:val="99"/>
    <w:unhideWhenUsed/>
    <w:rsid w:val="00BA07B8"/>
    <w:pPr>
      <w:numPr>
        <w:numId w:val="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character" w:styleId="af3">
    <w:name w:val="Strong"/>
    <w:basedOn w:val="a2"/>
    <w:uiPriority w:val="22"/>
    <w:qFormat/>
    <w:rsid w:val="00BA07B8"/>
    <w:rPr>
      <w:b/>
      <w:bCs/>
    </w:rPr>
  </w:style>
  <w:style w:type="paragraph" w:styleId="af4">
    <w:name w:val="Normal (Web)"/>
    <w:basedOn w:val="a1"/>
    <w:uiPriority w:val="99"/>
    <w:semiHidden/>
    <w:unhideWhenUsed/>
    <w:rsid w:val="00BA0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az-Latn-AZ" w:eastAsia="az-Latn-A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asco.az" TargetMode="External"/><Relationship Id="rId3" Type="http://schemas.openxmlformats.org/officeDocument/2006/relationships/styles" Target="styles.xml"/><Relationship Id="rId7" Type="http://schemas.openxmlformats.org/officeDocument/2006/relationships/hyperlink" Target="mailto:vuqar.calilov@asco.a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nder@asco.a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F0111-F0C1-4FC8-8B35-AD55481F1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1005</TotalTime>
  <Pages>6</Pages>
  <Words>6612</Words>
  <Characters>3769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Vuqar Calilov</cp:lastModifiedBy>
  <cp:revision>4</cp:revision>
  <cp:lastPrinted>2025-05-08T05:14:00Z</cp:lastPrinted>
  <dcterms:created xsi:type="dcterms:W3CDTF">2025-11-25T11:19:00Z</dcterms:created>
  <dcterms:modified xsi:type="dcterms:W3CDTF">2025-11-26T04:08:00Z</dcterms:modified>
</cp:coreProperties>
</file>