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AC7AA2">
        <w:rPr>
          <w:rFonts w:ascii="Arial" w:hAnsi="Arial" w:cs="Arial"/>
          <w:b/>
          <w:lang w:val="az-Latn-AZ"/>
        </w:rPr>
        <w:t>İpsiz çəkmələrin</w:t>
      </w:r>
      <w:r w:rsidR="007555CA" w:rsidRPr="007555CA">
        <w:rPr>
          <w:rFonts w:ascii="Arial" w:hAnsi="Arial" w:cs="Arial"/>
          <w:b/>
          <w:sz w:val="24"/>
          <w:szCs w:val="24"/>
          <w:lang w:val="az-Latn-AZ"/>
        </w:rPr>
        <w:t xml:space="preserve"> </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bookmarkStart w:id="0" w:name="_GoBack"/>
      <w:bookmarkEnd w:id="0"/>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C7AA2">
        <w:rPr>
          <w:rFonts w:ascii="Arial" w:hAnsi="Arial" w:cs="Arial"/>
          <w:b/>
          <w:sz w:val="24"/>
          <w:szCs w:val="24"/>
          <w:lang w:val="az-Latn-AZ" w:eastAsia="ru-RU"/>
        </w:rPr>
        <w:t>AM034</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5095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AC7AA2">
              <w:rPr>
                <w:rFonts w:ascii="Arial" w:hAnsi="Arial" w:cs="Arial"/>
                <w:b/>
                <w:sz w:val="20"/>
                <w:szCs w:val="20"/>
                <w:lang w:val="az-Latn-AZ" w:eastAsia="ru-RU"/>
              </w:rPr>
              <w:t>14 iyun</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5095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AC7AA2">
              <w:rPr>
                <w:rFonts w:ascii="Arial" w:hAnsi="Arial" w:cs="Arial"/>
                <w:b/>
                <w:sz w:val="20"/>
                <w:szCs w:val="20"/>
                <w:lang w:val="az-Latn-AZ" w:eastAsia="ru-RU"/>
              </w:rPr>
              <w:t>100 (Yüz)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5095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5095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C7AA2">
              <w:rPr>
                <w:rFonts w:ascii="Arial" w:hAnsi="Arial" w:cs="Arial"/>
                <w:sz w:val="20"/>
                <w:szCs w:val="20"/>
                <w:lang w:val="az-Latn-AZ" w:eastAsia="ru-RU"/>
              </w:rPr>
              <w:t>17 iyun</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5095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5095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C7AA2">
              <w:rPr>
                <w:rFonts w:ascii="Arial" w:hAnsi="Arial" w:cs="Arial"/>
                <w:b/>
                <w:sz w:val="20"/>
                <w:szCs w:val="20"/>
                <w:lang w:val="az-Latn-AZ" w:eastAsia="ru-RU"/>
              </w:rPr>
              <w:t>18</w:t>
            </w:r>
            <w:r w:rsidR="007555CA">
              <w:rPr>
                <w:rFonts w:ascii="Arial" w:hAnsi="Arial" w:cs="Arial"/>
                <w:b/>
                <w:sz w:val="20"/>
                <w:szCs w:val="20"/>
                <w:lang w:val="az-Latn-AZ" w:eastAsia="ru-RU"/>
              </w:rPr>
              <w:t xml:space="preserve"> </w:t>
            </w:r>
            <w:r w:rsidR="00AC7AA2">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5095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818"/>
        <w:gridCol w:w="3463"/>
        <w:gridCol w:w="1384"/>
        <w:gridCol w:w="842"/>
        <w:gridCol w:w="2843"/>
      </w:tblGrid>
      <w:tr w:rsidR="00AC7AA2" w:rsidRPr="00C95374" w:rsidTr="006F2B79">
        <w:trPr>
          <w:trHeight w:val="5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S/s</w:t>
            </w:r>
          </w:p>
        </w:tc>
        <w:tc>
          <w:tcPr>
            <w:tcW w:w="3463" w:type="dxa"/>
            <w:hideMark/>
          </w:tcPr>
          <w:p w:rsidR="00AC7AA2" w:rsidRPr="00C95374" w:rsidRDefault="00AC7AA2" w:rsidP="006F2B79">
            <w:pPr>
              <w:rPr>
                <w:rFonts w:ascii="Arial" w:hAnsi="Arial" w:cs="Arial"/>
                <w:bCs/>
                <w:sz w:val="20"/>
                <w:szCs w:val="20"/>
              </w:rPr>
            </w:pPr>
            <w:proofErr w:type="spellStart"/>
            <w:r w:rsidRPr="00C95374">
              <w:rPr>
                <w:rFonts w:ascii="Arial" w:hAnsi="Arial" w:cs="Arial"/>
                <w:bCs/>
                <w:sz w:val="20"/>
                <w:szCs w:val="20"/>
              </w:rPr>
              <w:t>İpsiz</w:t>
            </w:r>
            <w:proofErr w:type="spellEnd"/>
            <w:r w:rsidRPr="00C95374">
              <w:rPr>
                <w:rFonts w:ascii="Arial" w:hAnsi="Arial" w:cs="Arial"/>
                <w:bCs/>
                <w:sz w:val="20"/>
                <w:szCs w:val="20"/>
              </w:rPr>
              <w:t xml:space="preserve"> </w:t>
            </w:r>
            <w:proofErr w:type="spellStart"/>
            <w:r w:rsidRPr="00C95374">
              <w:rPr>
                <w:rFonts w:ascii="Arial" w:hAnsi="Arial" w:cs="Arial"/>
                <w:bCs/>
                <w:sz w:val="20"/>
                <w:szCs w:val="20"/>
              </w:rPr>
              <w:t>çəkmələr</w:t>
            </w:r>
            <w:proofErr w:type="spellEnd"/>
          </w:p>
        </w:tc>
        <w:tc>
          <w:tcPr>
            <w:tcW w:w="1384" w:type="dxa"/>
            <w:noWrap/>
            <w:hideMark/>
          </w:tcPr>
          <w:p w:rsidR="00AC7AA2" w:rsidRPr="00C95374" w:rsidRDefault="00AC7AA2" w:rsidP="006F2B79">
            <w:pPr>
              <w:rPr>
                <w:rFonts w:ascii="Arial" w:hAnsi="Arial" w:cs="Arial"/>
                <w:sz w:val="20"/>
                <w:szCs w:val="20"/>
              </w:rPr>
            </w:pPr>
            <w:r w:rsidRPr="00C95374">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18D21BBB" wp14:editId="4F7E99CB">
                      <wp:simplePos x="0" y="0"/>
                      <wp:positionH relativeFrom="column">
                        <wp:posOffset>9525</wp:posOffset>
                      </wp:positionH>
                      <wp:positionV relativeFrom="paragraph">
                        <wp:posOffset>0</wp:posOffset>
                      </wp:positionV>
                      <wp:extent cx="95250"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943F43"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Rc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" filled="f" stroked="f">
                      <o:lock v:ext="edit" aspectratio="t"/>
                    </v:rect>
                  </w:pict>
                </mc:Fallback>
              </mc:AlternateContent>
            </w:r>
          </w:p>
          <w:p w:rsidR="00AC7AA2" w:rsidRPr="00C95374" w:rsidRDefault="00AC7AA2" w:rsidP="006F2B79">
            <w:pPr>
              <w:rPr>
                <w:rFonts w:ascii="Arial" w:hAnsi="Arial" w:cs="Arial"/>
                <w:sz w:val="20"/>
                <w:szCs w:val="20"/>
              </w:rPr>
            </w:pPr>
            <w:r w:rsidRPr="00C95374">
              <w:rPr>
                <w:rFonts w:ascii="Arial" w:hAnsi="Arial" w:cs="Arial"/>
                <w:sz w:val="20"/>
                <w:szCs w:val="20"/>
                <w:lang w:val="az-Latn-AZ"/>
              </w:rPr>
              <w:t xml:space="preserve">Ölçü </w:t>
            </w:r>
            <w:proofErr w:type="spellStart"/>
            <w:r w:rsidRPr="00C95374">
              <w:rPr>
                <w:rFonts w:ascii="Arial" w:hAnsi="Arial" w:cs="Arial"/>
                <w:sz w:val="20"/>
                <w:szCs w:val="20"/>
              </w:rPr>
              <w:t>vahidi</w:t>
            </w:r>
            <w:proofErr w:type="spellEnd"/>
          </w:p>
        </w:tc>
        <w:tc>
          <w:tcPr>
            <w:tcW w:w="851" w:type="dxa"/>
            <w:hideMark/>
          </w:tcPr>
          <w:p w:rsidR="00AC7AA2" w:rsidRPr="00C95374" w:rsidRDefault="00AC7AA2" w:rsidP="006F2B79">
            <w:pPr>
              <w:rPr>
                <w:rFonts w:ascii="Arial" w:hAnsi="Arial" w:cs="Arial"/>
                <w:bCs/>
                <w:sz w:val="20"/>
                <w:szCs w:val="20"/>
              </w:rPr>
            </w:pPr>
            <w:proofErr w:type="spellStart"/>
            <w:r w:rsidRPr="00C95374">
              <w:rPr>
                <w:rFonts w:ascii="Arial" w:hAnsi="Arial" w:cs="Arial"/>
                <w:bCs/>
                <w:sz w:val="20"/>
                <w:szCs w:val="20"/>
              </w:rPr>
              <w:t>Cəmi</w:t>
            </w:r>
            <w:proofErr w:type="spellEnd"/>
          </w:p>
        </w:tc>
        <w:tc>
          <w:tcPr>
            <w:tcW w:w="2949" w:type="dxa"/>
            <w:hideMark/>
          </w:tcPr>
          <w:p w:rsidR="00AC7AA2" w:rsidRPr="00C95374" w:rsidRDefault="00AC7AA2" w:rsidP="006F2B79">
            <w:pPr>
              <w:rPr>
                <w:rFonts w:ascii="Arial" w:hAnsi="Arial" w:cs="Arial"/>
                <w:bCs/>
                <w:sz w:val="20"/>
                <w:szCs w:val="20"/>
              </w:rPr>
            </w:pPr>
            <w:proofErr w:type="spellStart"/>
            <w:r>
              <w:rPr>
                <w:rFonts w:ascii="Arial" w:hAnsi="Arial" w:cs="Arial"/>
                <w:bCs/>
                <w:sz w:val="20"/>
                <w:szCs w:val="20"/>
              </w:rPr>
              <w:t>Sertifikat</w:t>
            </w:r>
            <w:proofErr w:type="spellEnd"/>
            <w:r>
              <w:rPr>
                <w:rFonts w:ascii="Arial" w:hAnsi="Arial" w:cs="Arial"/>
                <w:bCs/>
                <w:sz w:val="20"/>
                <w:szCs w:val="20"/>
              </w:rPr>
              <w:t xml:space="preserve">  </w:t>
            </w:r>
            <w:proofErr w:type="spellStart"/>
            <w:r>
              <w:rPr>
                <w:rFonts w:ascii="Arial" w:hAnsi="Arial" w:cs="Arial"/>
                <w:bCs/>
                <w:sz w:val="20"/>
                <w:szCs w:val="20"/>
              </w:rPr>
              <w:t>tələbi</w:t>
            </w:r>
            <w:proofErr w:type="spellEnd"/>
            <w:r>
              <w:rPr>
                <w:rFonts w:ascii="Arial" w:hAnsi="Arial" w:cs="Arial"/>
                <w:bCs/>
                <w:sz w:val="20"/>
                <w:szCs w:val="20"/>
              </w:rPr>
              <w:t xml:space="preserve"> </w:t>
            </w:r>
            <w:proofErr w:type="spellStart"/>
            <w:r>
              <w:rPr>
                <w:rFonts w:ascii="Arial" w:hAnsi="Arial" w:cs="Arial"/>
                <w:bCs/>
                <w:sz w:val="20"/>
                <w:szCs w:val="20"/>
              </w:rPr>
              <w:t>haqqında</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1</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36,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3</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2</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37,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4</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3</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38,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8</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4</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39,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37</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5</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40,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250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6</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41,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670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7</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42,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1800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8</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43,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1500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9</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44,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630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10</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45,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310</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11</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46,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21</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12</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47,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5</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r w:rsidR="00AC7AA2" w:rsidRPr="00C95374" w:rsidTr="006F2B79">
        <w:trPr>
          <w:trHeight w:val="600"/>
        </w:trPr>
        <w:tc>
          <w:tcPr>
            <w:tcW w:w="818" w:type="dxa"/>
            <w:noWrap/>
            <w:hideMark/>
          </w:tcPr>
          <w:p w:rsidR="00AC7AA2" w:rsidRPr="00C95374" w:rsidRDefault="00AC7AA2" w:rsidP="006F2B79">
            <w:pPr>
              <w:rPr>
                <w:rFonts w:ascii="Arial" w:hAnsi="Arial" w:cs="Arial"/>
                <w:sz w:val="20"/>
                <w:szCs w:val="20"/>
              </w:rPr>
            </w:pPr>
            <w:r w:rsidRPr="00C95374">
              <w:rPr>
                <w:rFonts w:ascii="Arial" w:hAnsi="Arial" w:cs="Arial"/>
                <w:sz w:val="20"/>
                <w:szCs w:val="20"/>
              </w:rPr>
              <w:t>13</w:t>
            </w:r>
          </w:p>
        </w:tc>
        <w:tc>
          <w:tcPr>
            <w:tcW w:w="3463" w:type="dxa"/>
            <w:noWrap/>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Qoruyucu</w:t>
            </w:r>
            <w:proofErr w:type="spellEnd"/>
            <w:r w:rsidRPr="00C95374">
              <w:rPr>
                <w:rFonts w:ascii="Arial" w:hAnsi="Arial" w:cs="Arial"/>
                <w:sz w:val="20"/>
                <w:szCs w:val="20"/>
              </w:rPr>
              <w:t xml:space="preserve"> </w:t>
            </w:r>
            <w:proofErr w:type="spellStart"/>
            <w:r w:rsidRPr="00C95374">
              <w:rPr>
                <w:rFonts w:ascii="Arial" w:hAnsi="Arial" w:cs="Arial"/>
                <w:sz w:val="20"/>
                <w:szCs w:val="20"/>
              </w:rPr>
              <w:t>çəkmə</w:t>
            </w:r>
            <w:proofErr w:type="spellEnd"/>
            <w:r w:rsidRPr="00C95374">
              <w:rPr>
                <w:rFonts w:ascii="Arial" w:hAnsi="Arial" w:cs="Arial"/>
                <w:sz w:val="20"/>
                <w:szCs w:val="20"/>
              </w:rPr>
              <w:t>(</w:t>
            </w:r>
            <w:proofErr w:type="spellStart"/>
            <w:r w:rsidRPr="00C95374">
              <w:rPr>
                <w:rFonts w:ascii="Arial" w:hAnsi="Arial" w:cs="Arial"/>
                <w:sz w:val="20"/>
                <w:szCs w:val="20"/>
              </w:rPr>
              <w:t>ipsiz</w:t>
            </w:r>
            <w:proofErr w:type="spellEnd"/>
            <w:r w:rsidRPr="00C95374">
              <w:rPr>
                <w:rFonts w:ascii="Arial" w:hAnsi="Arial" w:cs="Arial"/>
                <w:sz w:val="20"/>
                <w:szCs w:val="20"/>
              </w:rPr>
              <w:t xml:space="preserve">), </w:t>
            </w:r>
            <w:proofErr w:type="spellStart"/>
            <w:r w:rsidRPr="00C95374">
              <w:rPr>
                <w:rFonts w:ascii="Arial" w:hAnsi="Arial" w:cs="Arial"/>
                <w:sz w:val="20"/>
                <w:szCs w:val="20"/>
              </w:rPr>
              <w:t>ölçüsü</w:t>
            </w:r>
            <w:proofErr w:type="spellEnd"/>
            <w:r w:rsidRPr="00C95374">
              <w:rPr>
                <w:rFonts w:ascii="Arial" w:hAnsi="Arial" w:cs="Arial"/>
                <w:sz w:val="20"/>
                <w:szCs w:val="20"/>
              </w:rPr>
              <w:t xml:space="preserve">:  48, </w:t>
            </w:r>
            <w:proofErr w:type="spellStart"/>
            <w:r w:rsidRPr="00C95374">
              <w:rPr>
                <w:rFonts w:ascii="Arial" w:hAnsi="Arial" w:cs="Arial"/>
                <w:sz w:val="20"/>
                <w:szCs w:val="20"/>
              </w:rPr>
              <w:t>standartı</w:t>
            </w:r>
            <w:proofErr w:type="spellEnd"/>
            <w:r w:rsidRPr="00C95374">
              <w:rPr>
                <w:rFonts w:ascii="Arial" w:hAnsi="Arial" w:cs="Arial"/>
                <w:sz w:val="20"/>
                <w:szCs w:val="20"/>
              </w:rPr>
              <w:t>: EN 20347</w:t>
            </w:r>
          </w:p>
        </w:tc>
        <w:tc>
          <w:tcPr>
            <w:tcW w:w="1384"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cüt</w:t>
            </w:r>
            <w:proofErr w:type="spellEnd"/>
          </w:p>
        </w:tc>
        <w:tc>
          <w:tcPr>
            <w:tcW w:w="851" w:type="dxa"/>
            <w:hideMark/>
          </w:tcPr>
          <w:p w:rsidR="00AC7AA2" w:rsidRPr="00C95374" w:rsidRDefault="00AC7AA2" w:rsidP="006F2B79">
            <w:pPr>
              <w:rPr>
                <w:rFonts w:ascii="Arial" w:hAnsi="Arial" w:cs="Arial"/>
                <w:sz w:val="20"/>
                <w:szCs w:val="20"/>
              </w:rPr>
            </w:pPr>
            <w:r w:rsidRPr="00C95374">
              <w:rPr>
                <w:rFonts w:ascii="Arial" w:hAnsi="Arial" w:cs="Arial"/>
                <w:sz w:val="20"/>
                <w:szCs w:val="20"/>
              </w:rPr>
              <w:t>5</w:t>
            </w:r>
          </w:p>
        </w:tc>
        <w:tc>
          <w:tcPr>
            <w:tcW w:w="2949" w:type="dxa"/>
            <w:hideMark/>
          </w:tcPr>
          <w:p w:rsidR="00AC7AA2" w:rsidRPr="00C95374" w:rsidRDefault="00AC7AA2" w:rsidP="006F2B79">
            <w:pPr>
              <w:rPr>
                <w:rFonts w:ascii="Arial" w:hAnsi="Arial" w:cs="Arial"/>
                <w:sz w:val="20"/>
                <w:szCs w:val="20"/>
              </w:rPr>
            </w:pPr>
            <w:proofErr w:type="spellStart"/>
            <w:r w:rsidRPr="00C95374">
              <w:rPr>
                <w:rFonts w:ascii="Arial" w:hAnsi="Arial" w:cs="Arial"/>
                <w:sz w:val="20"/>
                <w:szCs w:val="20"/>
              </w:rPr>
              <w:t>Uyğunluq</w:t>
            </w:r>
            <w:proofErr w:type="spellEnd"/>
            <w:r w:rsidRPr="00C95374">
              <w:rPr>
                <w:rFonts w:ascii="Arial" w:hAnsi="Arial" w:cs="Arial"/>
                <w:sz w:val="20"/>
                <w:szCs w:val="20"/>
              </w:rPr>
              <w:t xml:space="preserve"> </w:t>
            </w:r>
            <w:proofErr w:type="spellStart"/>
            <w:r w:rsidRPr="00C95374">
              <w:rPr>
                <w:rFonts w:ascii="Arial" w:hAnsi="Arial" w:cs="Arial"/>
                <w:sz w:val="20"/>
                <w:szCs w:val="20"/>
              </w:rPr>
              <w:t>və</w:t>
            </w:r>
            <w:proofErr w:type="spellEnd"/>
            <w:r w:rsidRPr="00C95374">
              <w:rPr>
                <w:rFonts w:ascii="Arial" w:hAnsi="Arial" w:cs="Arial"/>
                <w:sz w:val="20"/>
                <w:szCs w:val="20"/>
              </w:rPr>
              <w:t xml:space="preserve"> </w:t>
            </w:r>
            <w:proofErr w:type="spellStart"/>
            <w:r w:rsidRPr="00C95374">
              <w:rPr>
                <w:rFonts w:ascii="Arial" w:hAnsi="Arial" w:cs="Arial"/>
                <w:sz w:val="20"/>
                <w:szCs w:val="20"/>
              </w:rPr>
              <w:t>keyfiyyət</w:t>
            </w:r>
            <w:proofErr w:type="spellEnd"/>
            <w:r w:rsidRPr="00C95374">
              <w:rPr>
                <w:rFonts w:ascii="Arial" w:hAnsi="Arial" w:cs="Arial"/>
                <w:sz w:val="20"/>
                <w:szCs w:val="20"/>
              </w:rPr>
              <w:t xml:space="preserve"> </w:t>
            </w:r>
            <w:proofErr w:type="spellStart"/>
            <w:r w:rsidRPr="00C95374">
              <w:rPr>
                <w:rFonts w:ascii="Arial" w:hAnsi="Arial" w:cs="Arial"/>
                <w:sz w:val="20"/>
                <w:szCs w:val="20"/>
              </w:rPr>
              <w:t>sertfikatı</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17D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1756</Words>
  <Characters>10012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20</cp:revision>
  <dcterms:created xsi:type="dcterms:W3CDTF">2020-12-09T10:40:00Z</dcterms:created>
  <dcterms:modified xsi:type="dcterms:W3CDTF">2021-05-31T13:18:00Z</dcterms:modified>
</cp:coreProperties>
</file>