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28C" w14:textId="25A96075" w:rsidR="00C41AB3" w:rsidRPr="006E63F6" w:rsidRDefault="00C41AB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 xml:space="preserve">ASCO-nun struktur idarələrinə tələb olunan </w:t>
      </w:r>
      <w:r w:rsidR="007A286C">
        <w:rPr>
          <w:rFonts w:ascii="Times New Roman" w:hAnsi="Times New Roman" w:cs="Times New Roman"/>
          <w:b/>
          <w:bCs/>
          <w:lang w:val="az-Latn-AZ"/>
        </w:rPr>
        <w:t>Avtoşinlərin</w:t>
      </w:r>
      <w:r w:rsidRPr="006E63F6">
        <w:rPr>
          <w:rFonts w:ascii="Times New Roman" w:hAnsi="Times New Roman" w:cs="Times New Roman"/>
          <w:b/>
          <w:bCs/>
          <w:lang w:val="az-Latn-AZ"/>
        </w:rPr>
        <w:t xml:space="preserve"> satın alınması</w:t>
      </w:r>
    </w:p>
    <w:p w14:paraId="54F016EC" w14:textId="77777777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 məlumat</w:t>
      </w:r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adı: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“Azərbaycan Xəzər Dəniz Gəmiçiliyi” Qapalı Səhmdar Cəmiyyəti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 şəhəri Səbail rayonu, Mikayil Useynov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küçəsi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 adı:</w:t>
      </w:r>
    </w:p>
    <w:p w14:paraId="61359F84" w14:textId="62F212EF" w:rsidR="00C41AB3" w:rsidRPr="006E63F6" w:rsidRDefault="00C41AB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bCs/>
          <w:lang w:val="az-Latn-AZ"/>
        </w:rPr>
        <w:t xml:space="preserve">ASCO-nun struktur idarələrinə tələb olunan </w:t>
      </w:r>
      <w:r w:rsidR="00DE5A3F">
        <w:rPr>
          <w:rFonts w:ascii="Times New Roman" w:hAnsi="Times New Roman" w:cs="Times New Roman"/>
          <w:bCs/>
          <w:lang w:val="az-Latn-AZ"/>
        </w:rPr>
        <w:t>Avtoşinlərin</w:t>
      </w:r>
      <w:r w:rsidRPr="006E63F6">
        <w:rPr>
          <w:rFonts w:ascii="Times New Roman" w:hAnsi="Times New Roman" w:cs="Times New Roman"/>
          <w:bCs/>
          <w:lang w:val="az-Latn-AZ"/>
        </w:rPr>
        <w:t xml:space="preserve"> satın alınması</w:t>
      </w:r>
    </w:p>
    <w:p w14:paraId="70DED0B5" w14:textId="4679F69C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2FEEBC4E" w:rsidR="00292D63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</w:t>
      </w:r>
      <w:r w:rsidR="007A286C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7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916" w:type="dxa"/>
        <w:tblInd w:w="-289" w:type="dxa"/>
        <w:tblLook w:val="04A0" w:firstRow="1" w:lastRow="0" w:firstColumn="1" w:lastColumn="0" w:noHBand="0" w:noVBand="1"/>
      </w:tblPr>
      <w:tblGrid>
        <w:gridCol w:w="439"/>
        <w:gridCol w:w="2484"/>
        <w:gridCol w:w="2884"/>
        <w:gridCol w:w="828"/>
        <w:gridCol w:w="739"/>
        <w:gridCol w:w="1228"/>
        <w:gridCol w:w="2314"/>
      </w:tblGrid>
      <w:tr w:rsidR="007A286C" w:rsidRPr="00846D51" w14:paraId="5E7E9FC6" w14:textId="77777777" w:rsidTr="00CD7C3D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16DBF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A02541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Malın adı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611F1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Texniki parametrləri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F2B7A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Miqdar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7C7D0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Ölçü vahidi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D4421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Tələb.nömr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F8451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Zavod</w:t>
            </w:r>
          </w:p>
        </w:tc>
      </w:tr>
      <w:tr w:rsidR="007A286C" w:rsidRPr="00846D51" w14:paraId="0E5B039D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5FC6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F78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(avtoyükləyici)  7.00-12 14PR TT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1CF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(avtoyükləyici) 7.00-12 14PR TT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BDB2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40C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3BD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10122487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62B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BGTZ</w:t>
            </w:r>
          </w:p>
        </w:tc>
      </w:tr>
      <w:tr w:rsidR="007A286C" w:rsidRPr="00846D51" w14:paraId="4E2A3CA9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5E8C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09C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300-15 (315/70-15) 22PR 165A5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3CB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Avtoşin(avtoyükləyici) 300-15 (315/70-15) 22PR 165A5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AE7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F1D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191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10122487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E8C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BGTZ</w:t>
            </w:r>
          </w:p>
        </w:tc>
      </w:tr>
      <w:tr w:rsidR="007A286C" w:rsidRPr="00846D51" w14:paraId="6B316E8B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10E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9B9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16.0/70-24 16PR TL IND80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3E6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(avtoyükləyici) 16.0/70-24 16PR TL IND80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F9EC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A52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1E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10122487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A01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BGTZ</w:t>
            </w:r>
          </w:p>
        </w:tc>
      </w:tr>
      <w:tr w:rsidR="007A286C" w:rsidRPr="00846D51" w14:paraId="778B9717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CDEB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A14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8,25x15 PR15 M&amp;S TT (kameralı)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637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8,25x15 PR15 M&lt;(&gt;&amp;&lt;)&gt;S TT (kameralı)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559A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9D1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FC6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10122540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102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ZGTTZ</w:t>
            </w:r>
          </w:p>
        </w:tc>
      </w:tr>
      <w:tr w:rsidR="007A286C" w:rsidRPr="00846D51" w14:paraId="65BE46A9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3A27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BA1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8,25x20 PR15 M&amp;S TT (kameralı)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37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8,25x20 PR15 M&lt;(&gt;&amp;&lt;)&gt;S TT (kameralı)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5307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49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E96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10122540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3B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ZGTTZ</w:t>
            </w:r>
          </w:p>
        </w:tc>
      </w:tr>
      <w:tr w:rsidR="007A286C" w:rsidRPr="00846D51" w14:paraId="54154ADE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A56C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0CE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27x8.5-15 NHS  SKS532(kamerasız)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FC1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27x8.5-15 NHS SKS 532 (kamerasız)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BF5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98D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46D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10122540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061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ZGTTZ</w:t>
            </w:r>
          </w:p>
        </w:tc>
      </w:tr>
      <w:tr w:rsidR="007A286C" w:rsidRPr="00846D51" w14:paraId="2A07C0D3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19AA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61A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225/55 R17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334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225/55 R17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2A2C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ABB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054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D85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6D75BB52" w14:textId="77777777" w:rsidTr="00CD7C3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271D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297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215x65x15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F72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215x65x15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170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F1F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275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C8D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60E1152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2E5A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0C6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AvtoşinXP1 205/65 R15 94H M&amp;S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Çin/Hilo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F5B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205/65 R15 94T M&lt;(&gt;&amp;&lt;)&gt;S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B5A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E1D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FAC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A60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536A4CAC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21CD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72F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235/50 R18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329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235/50 R18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C804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1B8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7D8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976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2E463A04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4A0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162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225/50 R17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E30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225/50 R17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9654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7FB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95B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B8B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0928E404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6B84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8C6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215/55 R17 94TM&amp;S TL(kamerasiz)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495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215/55 R17 94TM&lt;(&gt;&amp;&lt;)&gt;S 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A85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E6F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87A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C76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097815AA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162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2EC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215/70 R16  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D7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215/70 R16 M&lt;(&gt;&amp;&lt;)&gt;STL(kamerasız)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BE83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9A2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BFF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E22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2DEC24F3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DB4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CEF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205/60 R16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BEF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205/60 R16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A60E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33E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6C4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86F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779980AB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48FB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A2B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225/55 R18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548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225/55 R18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1B3A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60A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D12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303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6962CA1F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1B27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8AE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245/65 R17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6A5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245/65 R17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EB2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6B3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2FC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45A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34534813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040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F7D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185/65 R14 94T 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3D5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185/65 R14 94T M&lt;(&gt;&amp;&lt;)&gt;STL(kamerasız)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EFAD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74C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A65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3BF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1E18A1C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D68B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83F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245/45 R18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685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245/45 R18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25B2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0CF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FC8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6AE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23705FAB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FDE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8DC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245-75-16 (Chevrolet Colorado)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566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245-75-16 (Chevrolet Colorado)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579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D93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419B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CD7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2E735BD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EC41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37E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185/75 R16C M&amp;S TL(kamerasız)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8A6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185/75 R16C M&lt;(&gt;&amp;&lt;)&gt;S TL(kamerasız)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7F31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324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849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39D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6A896E6D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3E38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CAC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215/75 R17,5 M&amp;S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055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215/75 R17,5 M&lt;(&gt;&amp;&lt;)&gt;S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AAF28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5A5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6A8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184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6BA91E5A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3792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AC0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315/80 R22,5  M&amp;S 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BB5B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315/80 R22,5 M&lt;(&gt;&amp;&lt;)&gt;S 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47EF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664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86F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5C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3F42E1F5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4DEB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078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295/80 R22,5  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0FF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295/80 R22,5 M&lt;(&gt;&amp;&lt;)&gt;STL(kamerasız)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8B3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575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158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A85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7AB49FB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5C9C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6FA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185/65 R15 94T 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9FE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185/65 R15 94T M&lt;(&gt;&amp;&lt;)&gt;STL(kamerasız)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38C3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FB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228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00C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406375D3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CF71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F0C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Avtoşin16,9-28 R-4 TL PR12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Çin/Toptrust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EA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16,9x28 PR16 M&lt;(&gt;&amp;&lt;)&gt;S TL(kamerasız; ведущая)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6F38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A8C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180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01A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0218E7F9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EE8D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7B5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10.00-20   146BTTF (kameralı)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12C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10.00-20 146BTTF (kameralı)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CD7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DCB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4E5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2F0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4A58030F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EE3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59CB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3,00-15 PR 150L M&amp;STL(kameralı)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8D9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3,00-15 PR 150L M&lt;(&gt;&amp;&lt;)&gt;STL(kameralı)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F489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1B9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3D7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525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66BDBF0D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264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29E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245/70 R16 94TM&amp;STL(kamerasız)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ABA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245/70 R16 94TM&lt;(&gt;&amp;&lt;)&gt;STL(kamerasız)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01E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C5A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0783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16F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558B4D74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391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888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8.25-15 HL40 16PR 152/A5 TT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D0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8.25-15 HL40 16PR 152/A5 TT (Extra Durable)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732B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EB2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EE7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00E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A90BCB6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2E4F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7E5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195/75 R16  M&amp;STL(kamerasız)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A4AE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Avtoşin 195/75 R16 M&lt;(&gt;&amp;&lt;)&gt;STL(kamerasız)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7A76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ACC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12B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571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5EDF6380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642A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752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28/9 R15  M&amp;S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2C9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28/9 R15 M&lt;(&gt;&amp;&lt;)&gt;S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2A4D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865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A48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931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4E2AA887" w14:textId="77777777" w:rsidTr="00CD7C3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0688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71DC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385X65 R-22.5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F8B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385X65 R-22.5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43D7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690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BD76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06C5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32A265A5" w14:textId="77777777" w:rsidTr="00CD7C3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31A3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17F4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265x65x17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A80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265x65x17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242F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DA6A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0F5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651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31CA830B" w14:textId="77777777" w:rsidTr="00CD7C3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448F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DEB8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235x70x16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F83B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235x70x16 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E2E6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67DF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B971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FF5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  <w:tr w:rsidR="007A286C" w:rsidRPr="00846D51" w14:paraId="191288C7" w14:textId="77777777" w:rsidTr="00CD7C3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14D0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44E7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195/70 R15C  M&amp;S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4DD9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Avtoşin 195/70 R15C M&lt;(&gt;&amp;&lt;)&gt;S TL(kamerasız) </w:t>
            </w:r>
            <w:r w:rsidRPr="00846D51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6875" w14:textId="77777777" w:rsidR="007A286C" w:rsidRPr="00846D51" w:rsidRDefault="007A286C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1630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ƏD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066D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10130349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7F62" w14:textId="77777777" w:rsidR="007A286C" w:rsidRPr="00846D51" w:rsidRDefault="007A286C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ASCO Nəqliyyat MMC</w:t>
            </w:r>
          </w:p>
        </w:tc>
      </w:tr>
    </w:tbl>
    <w:p w14:paraId="0E4054C4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5BE7CD8A" w14:textId="77777777" w:rsidR="007A286C" w:rsidRDefault="007A286C" w:rsidP="007A286C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</w:p>
    <w:p w14:paraId="66C51367" w14:textId="77777777" w:rsidR="007A286C" w:rsidRPr="007212D8" w:rsidRDefault="007A286C" w:rsidP="007A286C">
      <w:pPr>
        <w:pStyle w:val="a7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31864251" w14:textId="77777777" w:rsidR="007A286C" w:rsidRPr="007212D8" w:rsidRDefault="007A286C" w:rsidP="007A286C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color w:val="000000" w:themeColor="text1"/>
          <w:lang w:val="az-Latn-AZ"/>
        </w:rPr>
        <w:t>Avtoşinlərin</w:t>
      </w:r>
      <w:r w:rsidRPr="007212D8">
        <w:rPr>
          <w:rFonts w:ascii="Arial" w:hAnsi="Arial" w:cs="Arial"/>
          <w:b/>
          <w:color w:val="000000" w:themeColor="text1"/>
          <w:lang w:val="az-Latn-AZ"/>
        </w:rPr>
        <w:t xml:space="preserve"> satın alınması bir büdcə ili ərzində (31.12.2025-ci il tarixinədək) hissə-hissə təlabat yarandıqca həyata keçiriləcəkdir. </w:t>
      </w:r>
    </w:p>
    <w:p w14:paraId="06AAE67C" w14:textId="77777777" w:rsidR="007A286C" w:rsidRPr="007212D8" w:rsidRDefault="007A286C" w:rsidP="007A286C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>Təchizatçılar tərəfindən satınalma müqaviləsinin icrası üçün predmet üzrə ən azı 1 illik təcrübəni təsdiq edən sənəd (müqavilə nümunələri) təqdim edilməlidir.</w:t>
      </w:r>
    </w:p>
    <w:p w14:paraId="6558DA58" w14:textId="77777777" w:rsidR="007A286C" w:rsidRPr="007212D8" w:rsidRDefault="007A286C" w:rsidP="007A286C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 xml:space="preserve">Satınalma müqaviləsinin icrası üçün maliyyə imkanlarının və ödəmə qabiliyyəti </w:t>
      </w:r>
      <w:r>
        <w:rPr>
          <w:rFonts w:ascii="Arial" w:hAnsi="Arial" w:cs="Arial"/>
          <w:b/>
          <w:lang w:val="az-Latn-AZ"/>
        </w:rPr>
        <w:t xml:space="preserve">təsdiq edilməsi üçün </w:t>
      </w:r>
      <w:r w:rsidRPr="007212D8">
        <w:rPr>
          <w:rFonts w:ascii="Arial" w:hAnsi="Arial" w:cs="Arial"/>
          <w:b/>
          <w:lang w:val="az-Latn-AZ"/>
        </w:rPr>
        <w:t xml:space="preserve">ən  azı son 12 (on iki) aylıq dövrü əhatə edən bank dövriyyəsi barədə bank (banklar) tərəfindən verilmiş arayış </w:t>
      </w:r>
      <w:r>
        <w:rPr>
          <w:rFonts w:ascii="Arial" w:hAnsi="Arial" w:cs="Arial"/>
          <w:b/>
          <w:lang w:val="az-Latn-AZ"/>
        </w:rPr>
        <w:t>təqdim</w:t>
      </w:r>
      <w:r w:rsidRPr="007212D8">
        <w:rPr>
          <w:rFonts w:ascii="Arial" w:hAnsi="Arial" w:cs="Arial"/>
          <w:b/>
          <w:lang w:val="az-Latn-AZ"/>
        </w:rPr>
        <w:t xml:space="preserve"> olunmalıdır</w:t>
      </w:r>
      <w:r>
        <w:rPr>
          <w:rFonts w:ascii="Arial" w:hAnsi="Arial" w:cs="Arial"/>
          <w:b/>
          <w:lang w:val="az-Latn-AZ"/>
        </w:rPr>
        <w:t>.</w:t>
      </w:r>
    </w:p>
    <w:p w14:paraId="1CBD3DC2" w14:textId="77777777" w:rsidR="007A286C" w:rsidRDefault="007A286C" w:rsidP="007A286C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212D8">
        <w:rPr>
          <w:rFonts w:ascii="Arial" w:hAnsi="Arial" w:cs="Arial"/>
          <w:b/>
          <w:lang w:val="az-Latn-AZ"/>
        </w:rPr>
        <w:t>Müvafiq tələblərə cavab verən işçi qüvvəsi barədə müvafiq əmək müqavilələri bildirişləri təqdim edilməlidir.</w:t>
      </w:r>
    </w:p>
    <w:p w14:paraId="22F70283" w14:textId="77777777" w:rsidR="007A286C" w:rsidRDefault="007A286C" w:rsidP="007A286C">
      <w:pPr>
        <w:pStyle w:val="a7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Təchizatçının </w:t>
      </w:r>
      <w:r w:rsidRPr="007212D8">
        <w:rPr>
          <w:rFonts w:ascii="Arial" w:hAnsi="Arial" w:cs="Arial"/>
          <w:b/>
          <w:lang w:val="az-Latn-AZ"/>
        </w:rPr>
        <w:t>anbar-saxlancaq yerinin olması vacib şərtdir. Anbarın mövcud olmasını təsdiqləyən sənədlər təqdim olunmalıdır.</w:t>
      </w:r>
    </w:p>
    <w:p w14:paraId="7928168E" w14:textId="77777777" w:rsidR="007A286C" w:rsidRPr="00A33144" w:rsidRDefault="007A286C" w:rsidP="007A286C">
      <w:pPr>
        <w:pStyle w:val="a7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A33144">
        <w:rPr>
          <w:rFonts w:ascii="Arial" w:hAnsi="Arial" w:cs="Arial"/>
          <w:b/>
          <w:color w:val="000000" w:themeColor="text1"/>
          <w:lang w:val="az-Latn-AZ"/>
        </w:rPr>
        <w:t>İştirakçı şirkətlərin avtoşinlərin 2025-ci il istehsalı olmasını təsdiq etməlidir.</w:t>
      </w:r>
    </w:p>
    <w:p w14:paraId="2F984B70" w14:textId="79F0A060" w:rsidR="007A286C" w:rsidRPr="007A286C" w:rsidRDefault="007A286C" w:rsidP="007A286C">
      <w:pPr>
        <w:pStyle w:val="a7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 w:rsidRPr="00A33144">
        <w:rPr>
          <w:rFonts w:ascii="Arial" w:hAnsi="Arial" w:cs="Arial"/>
          <w:b/>
          <w:color w:val="000000" w:themeColor="text1"/>
          <w:lang w:val="az-Latn-AZ"/>
        </w:rPr>
        <w:t>Hər nir bənd üzrə avtoşinlərin qarışısnda istehsalçı ölkə vəzavod haqqında məlumat, təklif olunan avtoşinlərin texniki parametrləri qeyd edilməlidir.</w:t>
      </w:r>
    </w:p>
    <w:p w14:paraId="0092E2F4" w14:textId="1DD5CD68" w:rsidR="007A286C" w:rsidRPr="007212D8" w:rsidRDefault="007A286C" w:rsidP="007A286C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</w:t>
      </w:r>
      <w:r w:rsidRPr="00C41C2F">
        <w:rPr>
          <w:rFonts w:ascii="Arial" w:hAnsi="Arial" w:cs="Arial"/>
          <w:b/>
          <w:lang w:val="az-Latn-AZ"/>
        </w:rPr>
        <w:t>Yuxarıda qeyd olunan sənədlərin hər biri təqdim olunmalıdır. Bütün zəruri sənədləri özündə əks etdirməyən təkliflər müsabiqdən kənarlaşdırılır və qiymətləndirilmir</w:t>
      </w:r>
      <w:r>
        <w:rPr>
          <w:rFonts w:ascii="Arial" w:hAnsi="Arial" w:cs="Arial"/>
          <w:b/>
          <w:lang w:val="az-Latn-AZ"/>
        </w:rPr>
        <w:t>.</w:t>
      </w: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68640842" w:rsidR="00292D63" w:rsidRPr="006E63F6" w:rsidRDefault="0000073D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04.08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10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5F5050D0" w:rsidR="00F17170" w:rsidRPr="006E63F6" w:rsidRDefault="0000073D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</w:t>
      </w:r>
      <w:r w:rsidR="007A286C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3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.08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 təqdim olunma üsulu, yeri, son tarixi və saatı</w:t>
      </w:r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68A09108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 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 w:rsidR="007A286C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21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00073D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.2025-ci il, Bakı vaxtı ilə saat 1</w:t>
      </w:r>
      <w:r w:rsidR="009F5F37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:00-a qədər ASCO-ya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təqdim edilməlidir.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7339111D" w14:textId="78740BDF" w:rsidR="00980948" w:rsidRPr="00DE5A3F" w:rsidRDefault="007A286C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22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00073D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8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</w:p>
    <w:p w14:paraId="60242BDE" w14:textId="1F1D762E" w:rsidR="00292D63" w:rsidRPr="006E63F6" w:rsidRDefault="00C41AB3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İştirak haqqı: </w:t>
      </w:r>
      <w:r w:rsidR="007A286C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128.47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ilkin olaraq əlavədəki müraciət məktubunu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 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ə tədim etməli, </w:t>
      </w:r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 tenderin Əsas Şərtlər Toplusunu əldə etdikdən sonra</w:t>
      </w:r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83A17FC" w14:textId="44046A6F" w:rsidR="00E26429" w:rsidRPr="00DE5A3F" w:rsidRDefault="00E26429" w:rsidP="00DE5A3F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Əlaqələndirici şəxs: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 Departamentinin mütəxəssisi</w:t>
      </w:r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Telefon nömrəsi: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 məsələlər üzrə: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 nömrəsi: +994 12 4043700 (daxili: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Elektron ünvan: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26462D8E" w14:textId="1DC8BDD1" w:rsidR="007418BE" w:rsidRPr="0000073D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 xml:space="preserve">cənab </w:t>
      </w:r>
      <w:r w:rsidR="00F76905">
        <w:rPr>
          <w:rFonts w:ascii="Times New Roman" w:hAnsi="Times New Roman" w:cs="Times New Roman"/>
          <w:b/>
          <w:bCs/>
          <w:lang w:val="az-Latn-AZ" w:eastAsia="ru-RU"/>
        </w:rPr>
        <w:t>Rəşad Göyüşova</w:t>
      </w:r>
      <w:r w:rsidRPr="006E63F6">
        <w:rPr>
          <w:rFonts w:ascii="Times New Roman" w:hAnsi="Times New Roman" w:cs="Times New Roman"/>
          <w:b/>
          <w:bCs/>
          <w:lang w:val="az-Latn-AZ" w:eastAsia="ru-RU"/>
        </w:rPr>
        <w:t>,</w:t>
      </w: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1FEF1036" w14:textId="01EDD896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234BBB3E" w14:textId="385A52E2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24DC8C1E" w:rsidR="007418BE" w:rsidRPr="006E63F6" w:rsidRDefault="0000073D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________________________</w:t>
      </w:r>
      <w:r w:rsidR="007418BE"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4088E06D" w14:textId="10AC60B6" w:rsidR="007418BE" w:rsidRPr="0000073D" w:rsidRDefault="007418BE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sectPr w:rsidR="007418BE" w:rsidRPr="0000073D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3"/>
    <w:rsid w:val="0000073D"/>
    <w:rsid w:val="00125B0D"/>
    <w:rsid w:val="00164787"/>
    <w:rsid w:val="00165C4A"/>
    <w:rsid w:val="00205C1A"/>
    <w:rsid w:val="00292D63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86C"/>
    <w:rsid w:val="007A2CDF"/>
    <w:rsid w:val="008F0F4C"/>
    <w:rsid w:val="00922497"/>
    <w:rsid w:val="00980948"/>
    <w:rsid w:val="009F5F37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DE5A3F"/>
    <w:rsid w:val="00E26429"/>
    <w:rsid w:val="00F17170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6434</Words>
  <Characters>3668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7</cp:revision>
  <cp:lastPrinted>2025-05-08T05:14:00Z</cp:lastPrinted>
  <dcterms:created xsi:type="dcterms:W3CDTF">2025-08-01T18:20:00Z</dcterms:created>
  <dcterms:modified xsi:type="dcterms:W3CDTF">2025-08-04T04:18:00Z</dcterms:modified>
</cp:coreProperties>
</file>