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07" w:rsidRPr="00941F07" w:rsidRDefault="00E26CC0" w:rsidP="006B1EE1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025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/2023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help by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AZERBAIJAN CASPIAN SHIPPING </w:t>
      </w:r>
      <w:r w:rsid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06.03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.2023 for the purchase</w:t>
      </w:r>
      <w:r w:rsid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</w:t>
      </w:r>
      <w:r w:rsidR="00250B1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 D2876LE301 au</w:t>
      </w:r>
      <w:r w:rsid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xiliary engines’ spare parts, for</w:t>
      </w:r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the ferry vessels “</w:t>
      </w:r>
      <w:proofErr w:type="spellStart"/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Balaken</w:t>
      </w:r>
      <w:proofErr w:type="spellEnd"/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 and “</w:t>
      </w:r>
      <w:proofErr w:type="spellStart"/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Barda</w:t>
      </w:r>
      <w:proofErr w:type="spellEnd"/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 which are</w:t>
      </w:r>
      <w:r w:rsidR="004D6E4B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on the balance sheet of company.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2E4EF3" w:rsidTr="009A3899">
        <w:trPr>
          <w:trHeight w:hRule="exact" w:val="144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250B18" w:rsidP="004D6E4B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proofErr w:type="spellStart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urchase</w:t>
            </w:r>
            <w:proofErr w:type="spellEnd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of spare parts for </w:t>
            </w:r>
            <w:r w:rsidR="009A3899" w:rsidRP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 D2876LE301 auxiliary engines’ spare parts, for the ferr</w:t>
            </w:r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y vessels “</w:t>
            </w:r>
            <w:proofErr w:type="spellStart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Balaken</w:t>
            </w:r>
            <w:proofErr w:type="spellEnd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 and “</w:t>
            </w:r>
            <w:proofErr w:type="spellStart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Barda</w:t>
            </w:r>
            <w:proofErr w:type="spellEnd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</w:t>
            </w:r>
            <w:r w:rsidR="001A5977" w:rsidRPr="001A597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which are</w:t>
            </w:r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on the balance sheet of company.</w:t>
            </w:r>
          </w:p>
        </w:tc>
      </w:tr>
      <w:tr w:rsidR="00941F07" w:rsidRPr="004A05EB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1F07" w:rsidRPr="00941F07" w:rsidRDefault="001A5977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“Chinar-M</w:t>
            </w:r>
            <w:r w:rsidR="00250B18">
              <w:rPr>
                <w:rFonts w:ascii="Arial" w:hAnsi="Arial" w:cs="Arial"/>
                <w:b/>
                <w:lang w:val="en-US" w:eastAsia="ru-RU"/>
              </w:rPr>
              <w:t>”</w:t>
            </w:r>
            <w:r w:rsidR="00AD2ED0">
              <w:rPr>
                <w:rFonts w:ascii="Arial" w:hAnsi="Arial" w:cs="Arial"/>
                <w:b/>
                <w:lang w:val="en-US" w:eastAsia="ru-RU"/>
              </w:rPr>
              <w:t xml:space="preserve"> LLC</w:t>
            </w:r>
          </w:p>
        </w:tc>
      </w:tr>
      <w:tr w:rsidR="00941F07" w:rsidRPr="001A5977" w:rsidTr="00E91D46">
        <w:trPr>
          <w:trHeight w:hRule="exact" w:val="3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1F07" w:rsidRPr="00941F07" w:rsidRDefault="002E4EF3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161 662.36 AZN</w:t>
            </w:r>
          </w:p>
        </w:tc>
      </w:tr>
      <w:tr w:rsidR="002372F4" w:rsidRPr="001A5977" w:rsidTr="00E91D46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941F07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941F07" w:rsidRDefault="004A05EB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0A774C"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Baku</w:t>
            </w:r>
          </w:p>
        </w:tc>
      </w:tr>
      <w:tr w:rsidR="002372F4" w:rsidRPr="001A5977" w:rsidTr="00E91D46">
        <w:trPr>
          <w:trHeight w:hRule="exact" w:val="7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1A5977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45</w:t>
            </w:r>
            <w:r w:rsidR="004A05EB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days</w:t>
            </w:r>
            <w:bookmarkStart w:id="0" w:name="_GoBack"/>
            <w:bookmarkEnd w:id="0"/>
          </w:p>
        </w:tc>
      </w:tr>
    </w:tbl>
    <w:p w:rsidR="00C05FCE" w:rsidRDefault="00E26CC0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1F07" w:rsidRDefault="00941F07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A1" w:rsidRDefault="008143A1" w:rsidP="007B1858">
      <w:pPr>
        <w:spacing w:after="0" w:line="240" w:lineRule="auto"/>
      </w:pPr>
      <w:r>
        <w:separator/>
      </w:r>
    </w:p>
  </w:endnote>
  <w:endnote w:type="continuationSeparator" w:id="0">
    <w:p w:rsidR="008143A1" w:rsidRDefault="008143A1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A1" w:rsidRDefault="008143A1" w:rsidP="007B1858">
      <w:pPr>
        <w:spacing w:after="0" w:line="240" w:lineRule="auto"/>
      </w:pPr>
      <w:r>
        <w:separator/>
      </w:r>
    </w:p>
  </w:footnote>
  <w:footnote w:type="continuationSeparator" w:id="0">
    <w:p w:rsidR="008143A1" w:rsidRDefault="008143A1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845F5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4AE7"/>
    <w:rsid w:val="00175C3A"/>
    <w:rsid w:val="001810C3"/>
    <w:rsid w:val="00181B22"/>
    <w:rsid w:val="00191825"/>
    <w:rsid w:val="001A5977"/>
    <w:rsid w:val="001C2737"/>
    <w:rsid w:val="001C66DB"/>
    <w:rsid w:val="001E0228"/>
    <w:rsid w:val="001F493C"/>
    <w:rsid w:val="002372F4"/>
    <w:rsid w:val="00250B18"/>
    <w:rsid w:val="002526DD"/>
    <w:rsid w:val="00262477"/>
    <w:rsid w:val="00277FB9"/>
    <w:rsid w:val="00294024"/>
    <w:rsid w:val="002E4EF3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A05EB"/>
    <w:rsid w:val="004A791D"/>
    <w:rsid w:val="004C45D3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7050"/>
    <w:rsid w:val="005C3F18"/>
    <w:rsid w:val="005C62F0"/>
    <w:rsid w:val="005E411C"/>
    <w:rsid w:val="005E77E8"/>
    <w:rsid w:val="00604677"/>
    <w:rsid w:val="00610990"/>
    <w:rsid w:val="00655E5E"/>
    <w:rsid w:val="006629E3"/>
    <w:rsid w:val="00663607"/>
    <w:rsid w:val="00676431"/>
    <w:rsid w:val="0068061F"/>
    <w:rsid w:val="006A12C5"/>
    <w:rsid w:val="006B1EE1"/>
    <w:rsid w:val="006E1438"/>
    <w:rsid w:val="006E5C3A"/>
    <w:rsid w:val="006F7793"/>
    <w:rsid w:val="0071647B"/>
    <w:rsid w:val="0072209A"/>
    <w:rsid w:val="0074207B"/>
    <w:rsid w:val="00743C68"/>
    <w:rsid w:val="007600B9"/>
    <w:rsid w:val="00765159"/>
    <w:rsid w:val="007B1858"/>
    <w:rsid w:val="008143A1"/>
    <w:rsid w:val="00821AC6"/>
    <w:rsid w:val="00824D97"/>
    <w:rsid w:val="00880632"/>
    <w:rsid w:val="008A609E"/>
    <w:rsid w:val="008C644F"/>
    <w:rsid w:val="008F2D53"/>
    <w:rsid w:val="009240EB"/>
    <w:rsid w:val="00941F07"/>
    <w:rsid w:val="00956036"/>
    <w:rsid w:val="00987CCF"/>
    <w:rsid w:val="009A3899"/>
    <w:rsid w:val="009C701C"/>
    <w:rsid w:val="00A1491C"/>
    <w:rsid w:val="00A468E8"/>
    <w:rsid w:val="00A732C4"/>
    <w:rsid w:val="00AA4E48"/>
    <w:rsid w:val="00AD0187"/>
    <w:rsid w:val="00AD2ED0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3B9D"/>
    <w:rsid w:val="00CB4822"/>
    <w:rsid w:val="00CC21A4"/>
    <w:rsid w:val="00CE75F4"/>
    <w:rsid w:val="00CF2AB8"/>
    <w:rsid w:val="00D23285"/>
    <w:rsid w:val="00D825DE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1D46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9F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2023-05-02T07:47:00Z</dcterms:modified>
</cp:coreProperties>
</file>