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9A5" w14:textId="77777777" w:rsidR="00BB5FAB" w:rsidRDefault="00BB5FAB" w:rsidP="00BB5FA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6C2AD2FC" wp14:editId="41ECF326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7EC6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“Azərbaycan Xəzər Dəniz Gəmiçiliyi” Qapalı Səhmdar Cəmiyyətinin</w:t>
      </w:r>
    </w:p>
    <w:p w14:paraId="16F25417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xarici sularda üzən gəmilərin heyət üzvləri üçün</w:t>
      </w:r>
    </w:p>
    <w:p w14:paraId="6990A808" w14:textId="77777777" w:rsidR="00661B47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“Fərdi Qəza Sığortası” sığorta növünün</w:t>
      </w:r>
    </w:p>
    <w:p w14:paraId="613928E5" w14:textId="6D8B2527" w:rsidR="00BB5FAB" w:rsidRPr="00661B47" w:rsidRDefault="00661B47" w:rsidP="00661B47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SATIN ALINMASI</w:t>
      </w:r>
    </w:p>
    <w:p w14:paraId="68E2BDBE" w14:textId="77777777" w:rsidR="00BB5FAB" w:rsidRPr="00980948" w:rsidRDefault="00BB5FAB" w:rsidP="00BB5FA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5D961915" w14:textId="77777777" w:rsidR="00BB5FAB" w:rsidRPr="00292D63" w:rsidRDefault="00BB5FAB" w:rsidP="00BB5FA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624D2C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45B1C7C1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 (ASCO)</w:t>
      </w:r>
    </w:p>
    <w:p w14:paraId="5048FDFF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B44F309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3F2C5A1D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AZ1003, Baki şəhəri Səbail rayonu, Mikayil Useynov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2389ED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7D58798B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5D242891" w14:textId="77777777" w:rsidR="00661B47" w:rsidRPr="00661B47" w:rsidRDefault="00BB5FAB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</w:t>
      </w:r>
      <w:r w:rsidR="00661B47"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“Azərbaycan Xəzər Dəniz Gəmiçiliyi” Qapalı Səhmdar Cəmiyyətinin</w:t>
      </w:r>
    </w:p>
    <w:p w14:paraId="4F3527E7" w14:textId="77777777" w:rsidR="00661B47" w:rsidRPr="00661B47" w:rsidRDefault="00661B47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xarici sularda üzən gəmilərin heyət üzvləri üçün</w:t>
      </w:r>
    </w:p>
    <w:p w14:paraId="4548B1F8" w14:textId="77777777" w:rsidR="00661B47" w:rsidRPr="00661B47" w:rsidRDefault="00661B47" w:rsidP="00661B47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“Fərdi Qəza Sığortası” sığorta növünün</w:t>
      </w:r>
    </w:p>
    <w:p w14:paraId="463BB791" w14:textId="10E043E6" w:rsidR="00BB5FAB" w:rsidRDefault="00661B47" w:rsidP="00661B47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SATIN ALINMASI</w:t>
      </w:r>
    </w:p>
    <w:p w14:paraId="7BFE0911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BAED7B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5D979CEA" w14:textId="2AC031C4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1C6BB7BE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B74BBBA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0B499607" w14:textId="77777777" w:rsidR="00661B47" w:rsidRDefault="00661B47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</w:p>
    <w:p w14:paraId="4558DD2D" w14:textId="77777777" w:rsidR="00661B47" w:rsidRDefault="00661B47" w:rsidP="00661B47">
      <w:pPr>
        <w:tabs>
          <w:tab w:val="left" w:pos="3899"/>
        </w:tabs>
        <w:spacing w:before="253"/>
        <w:ind w:left="360"/>
      </w:pPr>
      <w:r>
        <w:rPr>
          <w:rFonts w:ascii="Arial" w:hAnsi="Arial"/>
          <w:b/>
          <w:sz w:val="22"/>
        </w:rPr>
        <w:t>Sığorta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olunan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şəxslər</w:t>
      </w:r>
      <w:r>
        <w:rPr>
          <w:rFonts w:ascii="Arial" w:hAnsi="Arial"/>
          <w:b/>
          <w:sz w:val="22"/>
        </w:rPr>
        <w:tab/>
      </w:r>
      <w:r>
        <w:rPr>
          <w:w w:val="90"/>
          <w:sz w:val="22"/>
        </w:rPr>
        <w:t>ümumi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100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nəfər</w:t>
      </w:r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avtomatik</w:t>
      </w:r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əlavələr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və</w:t>
      </w:r>
      <w:r>
        <w:rPr>
          <w:spacing w:val="25"/>
          <w:sz w:val="22"/>
        </w:rPr>
        <w:t xml:space="preserve"> </w:t>
      </w:r>
      <w:r>
        <w:rPr>
          <w:w w:val="90"/>
          <w:sz w:val="22"/>
        </w:rPr>
        <w:t>çıxarılmalar</w:t>
      </w:r>
      <w:r>
        <w:rPr>
          <w:spacing w:val="24"/>
          <w:sz w:val="22"/>
        </w:rPr>
        <w:t xml:space="preserve"> </w:t>
      </w:r>
      <w:r>
        <w:rPr>
          <w:w w:val="90"/>
          <w:sz w:val="22"/>
        </w:rPr>
        <w:t>sığortaçını</w:t>
      </w:r>
      <w:r>
        <w:rPr>
          <w:spacing w:val="26"/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pacing w:val="25"/>
          <w:sz w:val="22"/>
        </w:rPr>
        <w:t xml:space="preserve"> </w:t>
      </w:r>
      <w:r>
        <w:rPr>
          <w:spacing w:val="-5"/>
          <w:w w:val="90"/>
          <w:sz w:val="22"/>
        </w:rPr>
        <w:t>ay</w:t>
      </w:r>
    </w:p>
    <w:p w14:paraId="7D29DE90" w14:textId="77777777" w:rsidR="00661B47" w:rsidRDefault="00661B47" w:rsidP="00661B47">
      <w:pPr>
        <w:ind w:left="3869"/>
      </w:pPr>
      <w:r>
        <w:rPr>
          <w:w w:val="85"/>
          <w:sz w:val="22"/>
        </w:rPr>
        <w:t>məlumatlandırmaqla</w:t>
      </w:r>
      <w:r>
        <w:rPr>
          <w:spacing w:val="14"/>
          <w:sz w:val="22"/>
        </w:rPr>
        <w:t xml:space="preserve"> </w:t>
      </w:r>
      <w:r>
        <w:rPr>
          <w:w w:val="85"/>
          <w:sz w:val="22"/>
        </w:rPr>
        <w:t>sığorta</w:t>
      </w:r>
      <w:r>
        <w:rPr>
          <w:spacing w:val="15"/>
          <w:sz w:val="22"/>
        </w:rPr>
        <w:t xml:space="preserve"> </w:t>
      </w:r>
      <w:r>
        <w:rPr>
          <w:w w:val="85"/>
          <w:sz w:val="22"/>
        </w:rPr>
        <w:t>təminatı</w:t>
      </w:r>
      <w:r>
        <w:rPr>
          <w:spacing w:val="16"/>
          <w:sz w:val="22"/>
        </w:rPr>
        <w:t xml:space="preserve"> </w:t>
      </w:r>
      <w:r>
        <w:rPr>
          <w:w w:val="85"/>
          <w:sz w:val="22"/>
        </w:rPr>
        <w:t>ilə</w:t>
      </w:r>
      <w:r>
        <w:rPr>
          <w:spacing w:val="15"/>
          <w:sz w:val="22"/>
        </w:rPr>
        <w:t xml:space="preserve"> </w:t>
      </w:r>
      <w:r>
        <w:rPr>
          <w:w w:val="85"/>
          <w:sz w:val="22"/>
        </w:rPr>
        <w:t>əhatə</w:t>
      </w:r>
      <w:r>
        <w:rPr>
          <w:spacing w:val="15"/>
          <w:sz w:val="22"/>
        </w:rPr>
        <w:t xml:space="preserve"> </w:t>
      </w:r>
      <w:r>
        <w:rPr>
          <w:spacing w:val="-2"/>
          <w:w w:val="85"/>
          <w:sz w:val="22"/>
        </w:rPr>
        <w:t>olunur</w:t>
      </w:r>
    </w:p>
    <w:p w14:paraId="4A4C24A3" w14:textId="77777777" w:rsidR="00661B47" w:rsidRDefault="00661B47" w:rsidP="00661B47">
      <w:pPr>
        <w:spacing w:before="160"/>
        <w:ind w:left="360"/>
      </w:pPr>
      <w:r>
        <w:rPr>
          <w:rFonts w:ascii="Arial" w:hAnsi="Arial"/>
          <w:b/>
          <w:spacing w:val="-2"/>
          <w:sz w:val="22"/>
        </w:rPr>
        <w:t>Sığortalının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fəaliyyət</w:t>
      </w:r>
      <w:r>
        <w:rPr>
          <w:rFonts w:ascii="Arial" w:hAnsi="Arial"/>
          <w:b/>
          <w:spacing w:val="-9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növü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spacing w:val="-2"/>
          <w:sz w:val="22"/>
        </w:rPr>
        <w:t>Gəmiçilik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xidmətləri</w:t>
      </w:r>
    </w:p>
    <w:p w14:paraId="66265176" w14:textId="77777777" w:rsidR="00661B47" w:rsidRDefault="00661B47" w:rsidP="00661B47">
      <w:pPr>
        <w:spacing w:before="180"/>
        <w:ind w:left="36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Sığorta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təminatı:</w:t>
      </w:r>
    </w:p>
    <w:p w14:paraId="67100A4F" w14:textId="77777777" w:rsidR="00661B47" w:rsidRDefault="00661B47" w:rsidP="00661B47">
      <w:pPr>
        <w:spacing w:before="180" w:after="20"/>
        <w:ind w:left="3192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Bölmə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A: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FƏRDİ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pacing w:val="-4"/>
          <w:sz w:val="22"/>
        </w:rPr>
        <w:t>QƏZA</w:t>
      </w:r>
    </w:p>
    <w:tbl>
      <w:tblPr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5200"/>
        <w:gridCol w:w="1264"/>
      </w:tblGrid>
      <w:tr w:rsidR="00661B47" w14:paraId="581F14F1" w14:textId="77777777">
        <w:trPr>
          <w:trHeight w:val="272"/>
        </w:trPr>
        <w:tc>
          <w:tcPr>
            <w:tcW w:w="339" w:type="dxa"/>
          </w:tcPr>
          <w:p w14:paraId="6D686EDC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200" w:type="dxa"/>
          </w:tcPr>
          <w:p w14:paraId="5A71D8EB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Ölüm</w:t>
            </w:r>
          </w:p>
        </w:tc>
        <w:tc>
          <w:tcPr>
            <w:tcW w:w="1264" w:type="dxa"/>
          </w:tcPr>
          <w:p w14:paraId="5C9B97E5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23706CCB" w14:textId="77777777">
        <w:trPr>
          <w:trHeight w:val="545"/>
        </w:trPr>
        <w:tc>
          <w:tcPr>
            <w:tcW w:w="339" w:type="dxa"/>
          </w:tcPr>
          <w:p w14:paraId="3B7338D8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00" w:type="dxa"/>
          </w:tcPr>
          <w:p w14:paraId="4E588166" w14:textId="77777777" w:rsidR="00661B47" w:rsidRDefault="00661B47" w:rsidP="00855821">
            <w:pPr>
              <w:pStyle w:val="TableParagraph"/>
              <w:tabs>
                <w:tab w:val="left" w:pos="667"/>
                <w:tab w:val="left" w:pos="1080"/>
                <w:tab w:val="left" w:pos="1884"/>
                <w:tab w:val="left" w:pos="2823"/>
                <w:tab w:val="left" w:pos="4287"/>
                <w:tab w:val="left" w:pos="4859"/>
              </w:tabs>
            </w:pPr>
            <w:r>
              <w:rPr>
                <w:spacing w:val="-5"/>
              </w:rPr>
              <w:t>Hər</w:t>
            </w:r>
            <w:r>
              <w:tab/>
            </w:r>
            <w:r>
              <w:rPr>
                <w:spacing w:val="-5"/>
              </w:rPr>
              <w:t>iki</w:t>
            </w:r>
            <w:r>
              <w:tab/>
            </w:r>
            <w:r>
              <w:rPr>
                <w:spacing w:val="-4"/>
              </w:rPr>
              <w:t>gözün</w:t>
            </w:r>
            <w:r>
              <w:tab/>
            </w:r>
            <w:r>
              <w:rPr>
                <w:spacing w:val="-2"/>
              </w:rPr>
              <w:t>görmək</w:t>
            </w:r>
            <w:r>
              <w:tab/>
            </w:r>
            <w:r>
              <w:rPr>
                <w:spacing w:val="-2"/>
              </w:rPr>
              <w:t>qabiliyyətinin</w:t>
            </w:r>
            <w:r>
              <w:tab/>
            </w:r>
            <w:r>
              <w:rPr>
                <w:spacing w:val="-5"/>
              </w:rPr>
              <w:t>tam</w:t>
            </w:r>
            <w:r>
              <w:tab/>
            </w:r>
            <w:r>
              <w:rPr>
                <w:spacing w:val="-5"/>
              </w:rPr>
              <w:t>və</w:t>
            </w:r>
          </w:p>
          <w:p w14:paraId="3468F21C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90"/>
              </w:rPr>
              <w:t>bərpaolunmaz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itirilməsi</w:t>
            </w:r>
          </w:p>
        </w:tc>
        <w:tc>
          <w:tcPr>
            <w:tcW w:w="1264" w:type="dxa"/>
          </w:tcPr>
          <w:p w14:paraId="391CDDA9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110CF931" w14:textId="77777777">
        <w:trPr>
          <w:trHeight w:val="596"/>
        </w:trPr>
        <w:tc>
          <w:tcPr>
            <w:tcW w:w="339" w:type="dxa"/>
          </w:tcPr>
          <w:p w14:paraId="2B0A7DC4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00" w:type="dxa"/>
          </w:tcPr>
          <w:p w14:paraId="4C878FC2" w14:textId="77777777" w:rsidR="00661B47" w:rsidRDefault="00661B47" w:rsidP="00855821">
            <w:pPr>
              <w:pStyle w:val="TableParagraph"/>
              <w:tabs>
                <w:tab w:val="left" w:pos="681"/>
                <w:tab w:val="left" w:pos="1585"/>
                <w:tab w:val="left" w:pos="2623"/>
                <w:tab w:val="left" w:pos="4188"/>
                <w:tab w:val="left" w:pos="4859"/>
              </w:tabs>
              <w:spacing w:line="259" w:lineRule="auto"/>
              <w:ind w:right="96"/>
            </w:pPr>
            <w:r>
              <w:rPr>
                <w:spacing w:val="-4"/>
              </w:rPr>
              <w:t>Bir</w:t>
            </w:r>
            <w:r>
              <w:tab/>
            </w:r>
            <w:r>
              <w:rPr>
                <w:spacing w:val="-2"/>
                <w:w w:val="95"/>
              </w:rPr>
              <w:t>gözün</w:t>
            </w:r>
            <w:r>
              <w:tab/>
            </w:r>
            <w:r>
              <w:rPr>
                <w:spacing w:val="-2"/>
              </w:rPr>
              <w:t>görmək</w:t>
            </w:r>
            <w:r>
              <w:tab/>
            </w:r>
            <w:r>
              <w:rPr>
                <w:spacing w:val="-2"/>
                <w:w w:val="95"/>
              </w:rPr>
              <w:t>qabiliyyətinin</w:t>
            </w:r>
            <w:r>
              <w:tab/>
            </w:r>
            <w:r>
              <w:rPr>
                <w:spacing w:val="-4"/>
              </w:rPr>
              <w:t>tam</w:t>
            </w:r>
            <w:r>
              <w:tab/>
            </w:r>
            <w:r>
              <w:rPr>
                <w:spacing w:val="-12"/>
                <w:w w:val="75"/>
              </w:rPr>
              <w:t>və</w:t>
            </w:r>
            <w:r>
              <w:rPr>
                <w:spacing w:val="-2"/>
                <w:w w:val="75"/>
              </w:rPr>
              <w:t xml:space="preserve"> </w:t>
            </w:r>
            <w:r>
              <w:rPr>
                <w:spacing w:val="-2"/>
              </w:rPr>
              <w:t>bərpaolunmaz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itirilməsi</w:t>
            </w:r>
          </w:p>
        </w:tc>
        <w:tc>
          <w:tcPr>
            <w:tcW w:w="1264" w:type="dxa"/>
          </w:tcPr>
          <w:p w14:paraId="07A2F13A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7CAAA5A1" w14:textId="77777777">
        <w:trPr>
          <w:trHeight w:val="273"/>
        </w:trPr>
        <w:tc>
          <w:tcPr>
            <w:tcW w:w="339" w:type="dxa"/>
          </w:tcPr>
          <w:p w14:paraId="39C08C57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00" w:type="dxa"/>
          </w:tcPr>
          <w:p w14:paraId="2AD4C0A5" w14:textId="77777777" w:rsidR="00661B47" w:rsidRDefault="00661B47" w:rsidP="00855821">
            <w:pPr>
              <w:pStyle w:val="TableParagraph"/>
            </w:pPr>
            <w:r>
              <w:rPr>
                <w:w w:val="90"/>
              </w:rPr>
              <w:t>Bir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ətrafın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itirilməsi</w:t>
            </w:r>
          </w:p>
        </w:tc>
        <w:tc>
          <w:tcPr>
            <w:tcW w:w="1264" w:type="dxa"/>
          </w:tcPr>
          <w:p w14:paraId="3EEF4804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35AC5D00" w14:textId="77777777">
        <w:trPr>
          <w:trHeight w:val="273"/>
        </w:trPr>
        <w:tc>
          <w:tcPr>
            <w:tcW w:w="339" w:type="dxa"/>
          </w:tcPr>
          <w:p w14:paraId="39A10C12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00" w:type="dxa"/>
          </w:tcPr>
          <w:p w14:paraId="7258EEAB" w14:textId="77777777" w:rsidR="00661B47" w:rsidRDefault="00661B47" w:rsidP="00855821">
            <w:pPr>
              <w:pStyle w:val="TableParagraph"/>
            </w:pPr>
            <w:r>
              <w:rPr>
                <w:w w:val="75"/>
              </w:rPr>
              <w:t>İki</w:t>
            </w:r>
            <w:r>
              <w:rPr>
                <w:spacing w:val="3"/>
              </w:rPr>
              <w:t xml:space="preserve"> </w:t>
            </w:r>
            <w:r>
              <w:rPr>
                <w:w w:val="75"/>
              </w:rPr>
              <w:t>ətrafın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75"/>
              </w:rPr>
              <w:t>itirilməsi</w:t>
            </w:r>
          </w:p>
        </w:tc>
        <w:tc>
          <w:tcPr>
            <w:tcW w:w="1264" w:type="dxa"/>
          </w:tcPr>
          <w:p w14:paraId="58C9180C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16626FB8" w14:textId="77777777">
        <w:trPr>
          <w:trHeight w:val="546"/>
        </w:trPr>
        <w:tc>
          <w:tcPr>
            <w:tcW w:w="339" w:type="dxa"/>
          </w:tcPr>
          <w:p w14:paraId="30789E45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200" w:type="dxa"/>
          </w:tcPr>
          <w:p w14:paraId="1E5C8BAB" w14:textId="77777777" w:rsidR="00661B47" w:rsidRDefault="00661B47" w:rsidP="00855821">
            <w:pPr>
              <w:pStyle w:val="TableParagraph"/>
            </w:pPr>
            <w:r>
              <w:t>Bir</w:t>
            </w:r>
            <w:r>
              <w:rPr>
                <w:spacing w:val="61"/>
              </w:rPr>
              <w:t xml:space="preserve"> </w:t>
            </w:r>
            <w:r>
              <w:t>gözün</w:t>
            </w:r>
            <w:r>
              <w:rPr>
                <w:spacing w:val="62"/>
              </w:rPr>
              <w:t xml:space="preserve"> </w:t>
            </w:r>
            <w:r>
              <w:t>görmə</w:t>
            </w:r>
            <w:r>
              <w:rPr>
                <w:spacing w:val="62"/>
              </w:rPr>
              <w:t xml:space="preserve"> </w:t>
            </w:r>
            <w:r>
              <w:t>qabiliyyətinin</w:t>
            </w:r>
            <w:r>
              <w:rPr>
                <w:spacing w:val="62"/>
              </w:rPr>
              <w:t xml:space="preserve"> </w:t>
            </w:r>
            <w:r>
              <w:t>tam</w:t>
            </w:r>
            <w:r>
              <w:rPr>
                <w:spacing w:val="62"/>
              </w:rPr>
              <w:t xml:space="preserve"> </w:t>
            </w:r>
            <w:r>
              <w:t>və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bərpa</w:t>
            </w:r>
          </w:p>
          <w:p w14:paraId="5F66E75A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85"/>
              </w:rPr>
              <w:t>olunmayacaq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şəkildə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və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bir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əzanın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  <w:w w:val="85"/>
              </w:rPr>
              <w:t>itirilməsi</w:t>
            </w:r>
          </w:p>
        </w:tc>
        <w:tc>
          <w:tcPr>
            <w:tcW w:w="1264" w:type="dxa"/>
          </w:tcPr>
          <w:p w14:paraId="09C6456F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  <w:tr w:rsidR="00661B47" w14:paraId="4A1BF4A5" w14:textId="77777777">
        <w:trPr>
          <w:trHeight w:val="818"/>
        </w:trPr>
        <w:tc>
          <w:tcPr>
            <w:tcW w:w="339" w:type="dxa"/>
          </w:tcPr>
          <w:p w14:paraId="5964A8C1" w14:textId="77777777" w:rsidR="00661B47" w:rsidRDefault="00661B47" w:rsidP="00855821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200" w:type="dxa"/>
          </w:tcPr>
          <w:p w14:paraId="05AAD5D3" w14:textId="77777777" w:rsidR="00661B47" w:rsidRDefault="00661B47" w:rsidP="00855821">
            <w:pPr>
              <w:pStyle w:val="TableParagraph"/>
            </w:pPr>
            <w:r>
              <w:rPr>
                <w:spacing w:val="-8"/>
              </w:rPr>
              <w:t>Əmək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qabiliyyətinin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Tam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və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Daimi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itirilməsi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(2-ci</w:t>
            </w:r>
          </w:p>
          <w:p w14:paraId="05D9ADBD" w14:textId="77777777" w:rsidR="00661B47" w:rsidRDefault="00661B47" w:rsidP="00855821">
            <w:pPr>
              <w:pStyle w:val="TableParagraph"/>
              <w:spacing w:before="20"/>
            </w:pPr>
            <w:r>
              <w:rPr>
                <w:w w:val="90"/>
              </w:rPr>
              <w:t>maddədən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6-yə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qədər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sadalanan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  <w:w w:val="90"/>
              </w:rPr>
              <w:t>imtiyazlardan</w:t>
            </w:r>
          </w:p>
          <w:p w14:paraId="0AEAD3FA" w14:textId="77777777" w:rsidR="00661B47" w:rsidRDefault="00661B47" w:rsidP="00855821">
            <w:pPr>
              <w:pStyle w:val="TableParagraph"/>
              <w:spacing w:before="20"/>
            </w:pPr>
            <w:r>
              <w:rPr>
                <w:spacing w:val="-2"/>
                <w:w w:val="95"/>
              </w:rPr>
              <w:t>başqa</w:t>
            </w:r>
          </w:p>
        </w:tc>
        <w:tc>
          <w:tcPr>
            <w:tcW w:w="1264" w:type="dxa"/>
          </w:tcPr>
          <w:p w14:paraId="6DD2C6A7" w14:textId="77777777" w:rsidR="00661B47" w:rsidRDefault="00661B47" w:rsidP="00855821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</w:tr>
    </w:tbl>
    <w:p w14:paraId="2D854113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800"/>
        </w:tabs>
        <w:autoSpaceDE w:val="0"/>
        <w:autoSpaceDN w:val="0"/>
        <w:spacing w:before="3" w:after="0" w:line="256" w:lineRule="auto"/>
        <w:ind w:right="358"/>
        <w:contextualSpacing w:val="0"/>
        <w:jc w:val="both"/>
      </w:pPr>
      <w:r>
        <w:rPr>
          <w:w w:val="90"/>
          <w:sz w:val="22"/>
        </w:rPr>
        <w:t>Sığorta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məbləği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və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təminat: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Yuxarıdakı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cədvələ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əsasən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illik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əmək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haqqının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ölüm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faktı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 xml:space="preserve">olduqda </w:t>
      </w:r>
      <w:r>
        <w:rPr>
          <w:sz w:val="22"/>
          <w:u w:val="single"/>
        </w:rPr>
        <w:t>azı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5</w:t>
      </w:r>
      <w:r>
        <w:rPr>
          <w:sz w:val="22"/>
        </w:rPr>
        <w:t>,</w:t>
      </w:r>
      <w:r>
        <w:rPr>
          <w:spacing w:val="-13"/>
          <w:sz w:val="22"/>
        </w:rPr>
        <w:t xml:space="preserve"> </w:t>
      </w:r>
      <w:r>
        <w:rPr>
          <w:sz w:val="22"/>
        </w:rPr>
        <w:t>əmək</w:t>
      </w:r>
      <w:r>
        <w:rPr>
          <w:spacing w:val="-13"/>
          <w:sz w:val="22"/>
        </w:rPr>
        <w:t xml:space="preserve"> </w:t>
      </w:r>
      <w:r>
        <w:rPr>
          <w:sz w:val="22"/>
        </w:rPr>
        <w:t>qabiliyyətinin</w:t>
      </w:r>
      <w:r>
        <w:rPr>
          <w:spacing w:val="-13"/>
          <w:sz w:val="22"/>
        </w:rPr>
        <w:t xml:space="preserve"> </w:t>
      </w:r>
      <w:r>
        <w:rPr>
          <w:sz w:val="22"/>
        </w:rPr>
        <w:t>tam</w:t>
      </w:r>
      <w:r>
        <w:rPr>
          <w:spacing w:val="-13"/>
          <w:sz w:val="22"/>
        </w:rPr>
        <w:t xml:space="preserve"> </w:t>
      </w:r>
      <w:r>
        <w:rPr>
          <w:sz w:val="22"/>
        </w:rPr>
        <w:t>və</w:t>
      </w:r>
      <w:r>
        <w:rPr>
          <w:spacing w:val="-13"/>
          <w:sz w:val="22"/>
        </w:rPr>
        <w:t xml:space="preserve"> </w:t>
      </w:r>
      <w:r>
        <w:rPr>
          <w:sz w:val="22"/>
        </w:rPr>
        <w:t>daimi</w:t>
      </w:r>
      <w:r>
        <w:rPr>
          <w:spacing w:val="-13"/>
          <w:sz w:val="22"/>
        </w:rPr>
        <w:t xml:space="preserve"> </w:t>
      </w:r>
      <w:r>
        <w:rPr>
          <w:sz w:val="22"/>
        </w:rPr>
        <w:t>itirilməsi</w:t>
      </w:r>
      <w:r>
        <w:rPr>
          <w:spacing w:val="-13"/>
          <w:sz w:val="22"/>
        </w:rPr>
        <w:t xml:space="preserve"> </w:t>
      </w:r>
      <w:r>
        <w:rPr>
          <w:sz w:val="22"/>
        </w:rPr>
        <w:t>halında</w:t>
      </w:r>
      <w:r>
        <w:rPr>
          <w:spacing w:val="-13"/>
          <w:sz w:val="22"/>
        </w:rPr>
        <w:t xml:space="preserve"> </w:t>
      </w:r>
      <w:r>
        <w:rPr>
          <w:sz w:val="22"/>
          <w:u w:val="single"/>
        </w:rPr>
        <w:t>azı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3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misli</w:t>
      </w:r>
      <w:r>
        <w:rPr>
          <w:sz w:val="22"/>
        </w:rPr>
        <w:t>,</w:t>
      </w:r>
      <w:r>
        <w:rPr>
          <w:spacing w:val="-13"/>
          <w:sz w:val="22"/>
        </w:rPr>
        <w:t xml:space="preserve"> </w:t>
      </w:r>
      <w:r>
        <w:rPr>
          <w:sz w:val="22"/>
        </w:rPr>
        <w:t>digər</w:t>
      </w:r>
      <w:r>
        <w:rPr>
          <w:spacing w:val="-13"/>
          <w:sz w:val="22"/>
        </w:rPr>
        <w:t xml:space="preserve"> </w:t>
      </w:r>
      <w:r>
        <w:rPr>
          <w:sz w:val="22"/>
        </w:rPr>
        <w:t>hallarda</w:t>
      </w:r>
      <w:r>
        <w:rPr>
          <w:spacing w:val="-13"/>
          <w:sz w:val="22"/>
        </w:rPr>
        <w:t xml:space="preserve"> </w:t>
      </w:r>
      <w:r>
        <w:rPr>
          <w:sz w:val="22"/>
          <w:u w:val="single"/>
        </w:rPr>
        <w:t>azı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1</w:t>
      </w:r>
      <w:r>
        <w:rPr>
          <w:spacing w:val="-13"/>
          <w:sz w:val="22"/>
          <w:u w:val="single"/>
        </w:rPr>
        <w:t xml:space="preserve"> </w:t>
      </w:r>
      <w:r>
        <w:rPr>
          <w:sz w:val="22"/>
          <w:u w:val="single"/>
        </w:rPr>
        <w:t>misli</w:t>
      </w:r>
      <w:r>
        <w:rPr>
          <w:sz w:val="22"/>
        </w:rPr>
        <w:t xml:space="preserve"> </w:t>
      </w:r>
      <w:r>
        <w:rPr>
          <w:spacing w:val="-2"/>
          <w:sz w:val="22"/>
        </w:rPr>
        <w:t>həcmində.</w:t>
      </w:r>
    </w:p>
    <w:p w14:paraId="6C1E354A" w14:textId="77777777" w:rsidR="00661B47" w:rsidRDefault="00661B47" w:rsidP="00661B47">
      <w:pPr>
        <w:spacing w:before="164"/>
        <w:ind w:left="1643" w:right="1643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Bölmə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B: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TİBBİ</w:t>
      </w:r>
      <w:r>
        <w:rPr>
          <w:rFonts w:ascii="Arial" w:hAnsi="Arial"/>
          <w:b/>
          <w:spacing w:val="-2"/>
          <w:sz w:val="22"/>
        </w:rPr>
        <w:t xml:space="preserve"> XƏRCLƏR</w:t>
      </w:r>
    </w:p>
    <w:p w14:paraId="5DEF4B59" w14:textId="77777777" w:rsidR="00661B47" w:rsidRDefault="00661B47" w:rsidP="00661B47">
      <w:pPr>
        <w:spacing w:before="180"/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2"/>
        </w:rPr>
        <w:t>Bütün</w:t>
      </w:r>
      <w:r>
        <w:rPr>
          <w:rFonts w:ascii="Arial" w:hAnsi="Arial"/>
          <w:b/>
          <w:i/>
          <w:spacing w:val="-4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tibbi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xərclər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(qəza</w:t>
      </w:r>
      <w:r>
        <w:rPr>
          <w:rFonts w:ascii="Arial" w:hAnsi="Arial"/>
          <w:b/>
          <w:i/>
          <w:spacing w:val="-4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və/ya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xəstəlik)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və</w:t>
      </w:r>
      <w:r>
        <w:rPr>
          <w:rFonts w:ascii="Arial" w:hAnsi="Arial"/>
          <w:b/>
          <w:i/>
          <w:spacing w:val="-3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repatriasiya/evakuasiya</w:t>
      </w:r>
    </w:p>
    <w:p w14:paraId="402A6BBA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r>
        <w:rPr>
          <w:w w:val="90"/>
          <w:sz w:val="22"/>
        </w:rPr>
        <w:t>Sığorta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məbləği: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bir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hadisə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üçün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75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000,00</w:t>
      </w:r>
      <w:r>
        <w:rPr>
          <w:spacing w:val="-3"/>
          <w:w w:val="90"/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3673829B" w14:textId="77777777" w:rsidR="00661B47" w:rsidRDefault="00661B47" w:rsidP="00661B47">
      <w:pPr>
        <w:spacing w:before="158"/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2"/>
        </w:rPr>
        <w:t>Dayandırma</w:t>
      </w:r>
      <w:r>
        <w:rPr>
          <w:rFonts w:ascii="Arial" w:hAnsi="Arial"/>
          <w:b/>
          <w:i/>
          <w:spacing w:val="-5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və</w:t>
      </w:r>
      <w:r>
        <w:rPr>
          <w:rFonts w:ascii="Arial" w:hAnsi="Arial"/>
          <w:b/>
          <w:i/>
          <w:spacing w:val="-5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qısadılma</w:t>
      </w:r>
    </w:p>
    <w:p w14:paraId="08664B74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r>
        <w:rPr>
          <w:w w:val="90"/>
          <w:sz w:val="22"/>
        </w:rPr>
        <w:t>Sığorta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məbləği:</w:t>
      </w:r>
      <w:r>
        <w:rPr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bir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iddia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üçün</w:t>
      </w:r>
      <w:r>
        <w:rPr>
          <w:spacing w:val="-1"/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5.000,00</w:t>
      </w:r>
      <w:r>
        <w:rPr>
          <w:spacing w:val="-1"/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57695E22" w14:textId="77777777" w:rsidR="00661B47" w:rsidRDefault="00661B47" w:rsidP="00661B47">
      <w:pPr>
        <w:spacing w:before="158"/>
        <w:ind w:left="360"/>
        <w:rPr>
          <w:rFonts w:ascii="Arial" w:hAnsi="Arial"/>
          <w:b/>
          <w:i/>
        </w:rPr>
      </w:pPr>
      <w:r>
        <w:rPr>
          <w:rFonts w:ascii="Arial" w:hAnsi="Arial"/>
          <w:b/>
          <w:i/>
          <w:sz w:val="22"/>
        </w:rPr>
        <w:t>Heyətin</w:t>
      </w:r>
      <w:r>
        <w:rPr>
          <w:rFonts w:ascii="Arial" w:hAnsi="Arial"/>
          <w:b/>
          <w:i/>
          <w:spacing w:val="-9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dəyişdirilməsi</w:t>
      </w:r>
      <w:r>
        <w:rPr>
          <w:rFonts w:ascii="Arial" w:hAnsi="Arial"/>
          <w:b/>
          <w:i/>
          <w:spacing w:val="-7"/>
          <w:sz w:val="22"/>
        </w:rPr>
        <w:t xml:space="preserve"> </w:t>
      </w:r>
      <w:r>
        <w:rPr>
          <w:rFonts w:ascii="Arial" w:hAnsi="Arial"/>
          <w:b/>
          <w:i/>
          <w:spacing w:val="-2"/>
          <w:sz w:val="22"/>
        </w:rPr>
        <w:t>xərci</w:t>
      </w:r>
    </w:p>
    <w:p w14:paraId="004D12A6" w14:textId="77777777" w:rsidR="00661B47" w:rsidRDefault="00661B47" w:rsidP="00661B47">
      <w:pPr>
        <w:pStyle w:val="a7"/>
        <w:widowControl w:val="0"/>
        <w:numPr>
          <w:ilvl w:val="0"/>
          <w:numId w:val="3"/>
        </w:numPr>
        <w:tabs>
          <w:tab w:val="left" w:pos="1799"/>
        </w:tabs>
        <w:autoSpaceDE w:val="0"/>
        <w:autoSpaceDN w:val="0"/>
        <w:spacing w:before="160" w:after="0" w:line="240" w:lineRule="auto"/>
        <w:ind w:left="1799" w:hanging="359"/>
        <w:contextualSpacing w:val="0"/>
      </w:pPr>
      <w:r>
        <w:rPr>
          <w:w w:val="90"/>
          <w:sz w:val="22"/>
        </w:rPr>
        <w:t>Sığorta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məbləği:</w:t>
      </w:r>
      <w:r>
        <w:rPr>
          <w:sz w:val="22"/>
        </w:rPr>
        <w:t xml:space="preserve"> </w:t>
      </w:r>
      <w:r>
        <w:rPr>
          <w:w w:val="90"/>
          <w:sz w:val="22"/>
        </w:rPr>
        <w:t>hər</w:t>
      </w:r>
      <w:r>
        <w:rPr>
          <w:sz w:val="22"/>
        </w:rPr>
        <w:t xml:space="preserve"> </w:t>
      </w:r>
      <w:r>
        <w:rPr>
          <w:w w:val="90"/>
          <w:sz w:val="22"/>
        </w:rPr>
        <w:t>bir</w:t>
      </w:r>
      <w:r>
        <w:rPr>
          <w:sz w:val="22"/>
        </w:rPr>
        <w:t xml:space="preserve"> </w:t>
      </w:r>
      <w:r>
        <w:rPr>
          <w:w w:val="90"/>
          <w:sz w:val="22"/>
        </w:rPr>
        <w:t>iddia</w:t>
      </w:r>
      <w:r>
        <w:rPr>
          <w:sz w:val="22"/>
        </w:rPr>
        <w:t xml:space="preserve"> </w:t>
      </w:r>
      <w:r>
        <w:rPr>
          <w:w w:val="90"/>
          <w:sz w:val="22"/>
        </w:rPr>
        <w:t>üçün</w:t>
      </w:r>
      <w:r>
        <w:rPr>
          <w:sz w:val="22"/>
        </w:rPr>
        <w:t xml:space="preserve"> </w:t>
      </w:r>
      <w:r>
        <w:rPr>
          <w:w w:val="90"/>
          <w:sz w:val="22"/>
          <w:u w:val="single"/>
        </w:rPr>
        <w:t>minimum</w:t>
      </w:r>
      <w:r>
        <w:rPr>
          <w:spacing w:val="-1"/>
          <w:sz w:val="22"/>
        </w:rPr>
        <w:t xml:space="preserve"> </w:t>
      </w:r>
      <w:r>
        <w:rPr>
          <w:w w:val="90"/>
          <w:sz w:val="22"/>
        </w:rPr>
        <w:t>5.000,00</w:t>
      </w:r>
      <w:r>
        <w:rPr>
          <w:sz w:val="22"/>
        </w:rPr>
        <w:t xml:space="preserve"> </w:t>
      </w:r>
      <w:r>
        <w:rPr>
          <w:spacing w:val="-5"/>
          <w:w w:val="90"/>
          <w:sz w:val="22"/>
        </w:rPr>
        <w:t>AZN</w:t>
      </w:r>
    </w:p>
    <w:p w14:paraId="27D12B0B" w14:textId="77777777" w:rsidR="00661B47" w:rsidRDefault="00661B47" w:rsidP="00661B47">
      <w:pPr>
        <w:tabs>
          <w:tab w:val="left" w:pos="3191"/>
        </w:tabs>
        <w:spacing w:before="159"/>
        <w:ind w:left="360"/>
      </w:pPr>
      <w:r>
        <w:rPr>
          <w:rFonts w:ascii="Arial" w:hAnsi="Arial"/>
          <w:b/>
          <w:sz w:val="22"/>
        </w:rPr>
        <w:t>Sığorta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müddəti</w:t>
      </w:r>
      <w:r>
        <w:rPr>
          <w:rFonts w:ascii="Arial" w:hAnsi="Arial"/>
          <w:b/>
          <w:sz w:val="22"/>
        </w:rPr>
        <w:tab/>
      </w:r>
      <w:r>
        <w:rPr>
          <w:sz w:val="22"/>
        </w:rPr>
        <w:t>Bir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il </w:t>
      </w:r>
      <w:r>
        <w:rPr>
          <w:spacing w:val="-2"/>
          <w:sz w:val="22"/>
        </w:rPr>
        <w:t>müddətinə</w:t>
      </w:r>
    </w:p>
    <w:p w14:paraId="1E6D1C71" w14:textId="77777777" w:rsidR="00661B47" w:rsidRDefault="00661B47" w:rsidP="00661B47">
      <w:pPr>
        <w:tabs>
          <w:tab w:val="left" w:pos="3191"/>
        </w:tabs>
        <w:spacing w:before="180"/>
        <w:ind w:left="363"/>
      </w:pPr>
      <w:r>
        <w:rPr>
          <w:rFonts w:ascii="Arial"/>
          <w:b/>
          <w:spacing w:val="-2"/>
          <w:sz w:val="22"/>
        </w:rPr>
        <w:t>Azadolma</w:t>
      </w:r>
      <w:r>
        <w:rPr>
          <w:rFonts w:ascii="Arial"/>
          <w:b/>
          <w:sz w:val="22"/>
        </w:rPr>
        <w:tab/>
      </w:r>
      <w:r>
        <w:rPr>
          <w:sz w:val="22"/>
          <w:u w:val="single"/>
        </w:rPr>
        <w:t>maksimum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</w:rPr>
        <w:t>250</w:t>
      </w:r>
      <w:r>
        <w:rPr>
          <w:spacing w:val="-1"/>
          <w:sz w:val="22"/>
        </w:rPr>
        <w:t xml:space="preserve"> </w:t>
      </w:r>
      <w:r>
        <w:rPr>
          <w:spacing w:val="-5"/>
          <w:sz w:val="22"/>
        </w:rPr>
        <w:t>AZN</w:t>
      </w:r>
    </w:p>
    <w:p w14:paraId="5AE8DBF0" w14:textId="77777777" w:rsidR="00661B47" w:rsidRDefault="00661B47" w:rsidP="00661B47">
      <w:pPr>
        <w:tabs>
          <w:tab w:val="left" w:pos="1267"/>
          <w:tab w:val="left" w:pos="2343"/>
          <w:tab w:val="left" w:pos="3492"/>
          <w:tab w:val="left" w:pos="4471"/>
          <w:tab w:val="left" w:pos="5853"/>
          <w:tab w:val="left" w:pos="6990"/>
          <w:tab w:val="left" w:pos="8762"/>
          <w:tab w:val="left" w:pos="10915"/>
        </w:tabs>
        <w:spacing w:before="180" w:line="259" w:lineRule="auto"/>
        <w:ind w:left="359" w:right="358" w:firstLine="3"/>
        <w:rPr>
          <w:rFonts w:ascii="Arial" w:hAnsi="Arial"/>
          <w:b/>
        </w:rPr>
      </w:pPr>
      <w:r>
        <w:rPr>
          <w:rFonts w:ascii="Arial" w:hAnsi="Arial"/>
          <w:b/>
          <w:spacing w:val="-4"/>
          <w:sz w:val="22"/>
        </w:rPr>
        <w:t>Qeyd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olunan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şərtlərə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cavab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verməyən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təkliflər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müsabiqədən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kənarlaşdırılacaq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6"/>
          <w:sz w:val="22"/>
        </w:rPr>
        <w:t xml:space="preserve">və </w:t>
      </w:r>
      <w:r>
        <w:rPr>
          <w:rFonts w:ascii="Arial" w:hAnsi="Arial"/>
          <w:b/>
          <w:spacing w:val="-2"/>
          <w:sz w:val="22"/>
        </w:rPr>
        <w:t>qiymətləndirilməyəcəkdir.</w:t>
      </w:r>
    </w:p>
    <w:p w14:paraId="324A6B91" w14:textId="77777777" w:rsidR="00661B47" w:rsidRDefault="00661B47" w:rsidP="00661B47">
      <w:pPr>
        <w:pStyle w:val="2"/>
        <w:ind w:left="2341" w:right="1643"/>
        <w:jc w:val="center"/>
      </w:pPr>
      <w:r>
        <w:t>Texniki</w:t>
      </w:r>
      <w:r>
        <w:rPr>
          <w:spacing w:val="-7"/>
        </w:rPr>
        <w:t xml:space="preserve"> </w:t>
      </w:r>
      <w:r>
        <w:t>suallarla</w:t>
      </w:r>
      <w:r>
        <w:rPr>
          <w:spacing w:val="-7"/>
        </w:rPr>
        <w:t xml:space="preserve"> </w:t>
      </w:r>
      <w:r>
        <w:rPr>
          <w:spacing w:val="-2"/>
        </w:rPr>
        <w:t>bağlı</w:t>
      </w:r>
    </w:p>
    <w:p w14:paraId="6C0D6A4C" w14:textId="77777777" w:rsidR="00661B47" w:rsidRDefault="00661B47" w:rsidP="00661B47">
      <w:pPr>
        <w:pStyle w:val="ae"/>
        <w:ind w:left="5264"/>
      </w:pPr>
      <w:r>
        <w:rPr>
          <w:w w:val="90"/>
        </w:rPr>
        <w:t>Hacıəliyev</w:t>
      </w:r>
      <w:r>
        <w:rPr>
          <w:spacing w:val="14"/>
        </w:rPr>
        <w:t xml:space="preserve"> </w:t>
      </w:r>
      <w:r>
        <w:rPr>
          <w:spacing w:val="-4"/>
        </w:rPr>
        <w:t>Fuad</w:t>
      </w:r>
    </w:p>
    <w:p w14:paraId="59B3D088" w14:textId="77777777" w:rsidR="00661B47" w:rsidRDefault="00661B47" w:rsidP="00661B47">
      <w:pPr>
        <w:pStyle w:val="ae"/>
        <w:ind w:left="3608" w:right="2669" w:hanging="844"/>
        <w:rPr>
          <w:rFonts w:ascii="Times New Roman" w:hAnsi="Times New Roman"/>
        </w:rPr>
      </w:pPr>
      <w:r>
        <w:rPr>
          <w:spacing w:val="-8"/>
        </w:rPr>
        <w:t>ASCO-nun</w:t>
      </w:r>
      <w:r>
        <w:rPr>
          <w:spacing w:val="-9"/>
        </w:rPr>
        <w:t xml:space="preserve"> </w:t>
      </w:r>
      <w:r>
        <w:rPr>
          <w:spacing w:val="-8"/>
        </w:rPr>
        <w:t>Risklərin</w:t>
      </w:r>
      <w:r>
        <w:rPr>
          <w:spacing w:val="-9"/>
        </w:rPr>
        <w:t xml:space="preserve"> </w:t>
      </w:r>
      <w:r>
        <w:rPr>
          <w:spacing w:val="-8"/>
        </w:rPr>
        <w:t>idarə edilməsi</w:t>
      </w:r>
      <w:r>
        <w:rPr>
          <w:spacing w:val="-9"/>
        </w:rPr>
        <w:t xml:space="preserve"> </w:t>
      </w:r>
      <w:r>
        <w:rPr>
          <w:spacing w:val="-8"/>
        </w:rPr>
        <w:t>departamentinin</w:t>
      </w:r>
      <w:r>
        <w:rPr>
          <w:spacing w:val="-9"/>
        </w:rPr>
        <w:t xml:space="preserve"> </w:t>
      </w:r>
      <w:r>
        <w:rPr>
          <w:spacing w:val="-8"/>
        </w:rPr>
        <w:t xml:space="preserve">rəisi </w:t>
      </w:r>
      <w:r>
        <w:t>Telefon nömrəsi</w:t>
      </w:r>
      <w:r>
        <w:rPr>
          <w:rFonts w:ascii="Arial" w:hAnsi="Arial"/>
          <w:b/>
        </w:rPr>
        <w:t>:Tel: +99450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 xml:space="preserve">373 66 21 </w:t>
      </w:r>
      <w:r>
        <w:t xml:space="preserve">Elektron ünvan: </w:t>
      </w:r>
      <w:hyperlink r:id="rId6">
        <w:r>
          <w:rPr>
            <w:rFonts w:ascii="Times New Roman" w:hAnsi="Times New Roman"/>
            <w:color w:val="0000FF"/>
            <w:u w:val="single" w:color="0000FF"/>
          </w:rPr>
          <w:t>Fuad.Hacialiyev@asco.az</w:t>
        </w:r>
      </w:hyperlink>
    </w:p>
    <w:p w14:paraId="14561463" w14:textId="77777777" w:rsidR="00661B47" w:rsidRPr="00661B47" w:rsidRDefault="00661B47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"/>
          <w14:ligatures w14:val="none"/>
        </w:rPr>
      </w:pPr>
    </w:p>
    <w:p w14:paraId="7852C840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0D8DCBB" w14:textId="77777777" w:rsidR="00BB5FAB" w:rsidRPr="00700FA2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2A98D777" w14:textId="4909D298" w:rsidR="00BB5FAB" w:rsidRPr="00C42778" w:rsidRDefault="00661B47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18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7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09</w:t>
      </w:r>
      <w:r w:rsidR="00BB5FA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448EA86D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2FE04048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490EC619" w14:textId="4F46CFC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2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5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7</w:t>
      </w: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56D292E9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675AC8B6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0D2E6AE" w14:textId="77777777" w:rsidR="00BB5FAB" w:rsidRPr="00C42778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55E85EA7" w14:textId="77777777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4E840469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39A9FE85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49960E01" w14:textId="03F1F85A" w:rsidR="00BB5FAB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01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4516E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1CA42677" w14:textId="77777777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0645E7F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058A21FB" w14:textId="406B35D5" w:rsidR="00BB5FAB" w:rsidRPr="00165C4A" w:rsidRDefault="00BB5FAB" w:rsidP="00BB5FA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proofErr w:type="gramStart"/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0</w:t>
      </w:r>
      <w:r w:rsidR="00362271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4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661B47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proofErr w:type="gramEnd"/>
      <w:r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1F46469E" w14:textId="77777777" w:rsidR="00BB5FAB" w:rsidRPr="00292D63" w:rsidRDefault="00BB5FAB" w:rsidP="00BB5FA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660FEA39" w14:textId="34FC95D5" w:rsidR="00BB5FAB" w:rsidRPr="00292D63" w:rsidRDefault="00BB5FAB" w:rsidP="00BB5FA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İştirak haqqı: </w:t>
      </w:r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111.40 (Yüz on bir manat 40 </w:t>
      </w:r>
      <w:proofErr w:type="gramStart"/>
      <w:r w:rsidR="00661B47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qəpik) </w:t>
      </w:r>
      <w:r w:rsidRPr="00292D63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AZN</w:t>
      </w:r>
      <w:proofErr w:type="gramEnd"/>
    </w:p>
    <w:p w14:paraId="0B9969D9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ilkin olaraq əlavədəki müraciət məktubunu əlaqələndirici şəxsə tədim etməli, 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177E54D8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4899FFC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0ECB6542" w14:textId="77777777" w:rsidR="00BB5FAB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2BF85F3B" w14:textId="77777777" w:rsidR="00BB5FAB" w:rsidRPr="00E26429" w:rsidRDefault="00BB5FAB" w:rsidP="00BB5FA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726A347F" w14:textId="77777777" w:rsidR="00BB5FAB" w:rsidRPr="00E26429" w:rsidRDefault="00BB5FAB" w:rsidP="00BB5FA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p w14:paraId="6F6CD2B6" w14:textId="77777777" w:rsidR="00BB5FAB" w:rsidRPr="00E26429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BB5FAB" w:rsidRPr="00E26429" w14:paraId="606B449F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839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C185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5B8" w14:textId="77777777" w:rsidR="00BB5FAB" w:rsidRPr="00E26429" w:rsidRDefault="00BB5FAB" w:rsidP="00457769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BB5FAB" w:rsidRPr="00E26429" w14:paraId="5A620724" w14:textId="77777777" w:rsidTr="00457769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6B1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0BFE49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354AE13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14AE39CC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AEBF9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49D0DFF9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6D2D402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lastRenderedPageBreak/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7C03EDB0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3DC27625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0FF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lastRenderedPageBreak/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41D39262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6CA39B15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5B815A88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0C7AEE73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631A597D" w14:textId="77777777" w:rsidR="00BB5FAB" w:rsidRPr="00E26429" w:rsidRDefault="00BB5FAB" w:rsidP="00457769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lastRenderedPageBreak/>
              <w:t xml:space="preserve">SWIFT: IBAZAZ2X </w:t>
            </w:r>
          </w:p>
          <w:p w14:paraId="04E7F498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519F1913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5F91CE09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0AD4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lastRenderedPageBreak/>
              <w:t>Intermediary Bank: Commerzbank AG, Frankfurt am Main</w:t>
            </w:r>
          </w:p>
          <w:p w14:paraId="6B9E65DE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36B6E36B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213F5DC2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16FCA5CF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7571B0DD" w14:textId="77777777" w:rsidR="00BB5FAB" w:rsidRPr="00E26429" w:rsidRDefault="00BB5FAB" w:rsidP="00457769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lastRenderedPageBreak/>
              <w:t xml:space="preserve">SWIFT: IBAZAZ2X </w:t>
            </w:r>
          </w:p>
          <w:p w14:paraId="259B171B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9D2345C" w14:textId="77777777" w:rsidR="00BB5FAB" w:rsidRPr="00E26429" w:rsidRDefault="00BB5FAB" w:rsidP="00457769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2F8730" w14:textId="77777777" w:rsidR="00BB5FAB" w:rsidRPr="00E26429" w:rsidRDefault="00BB5FAB" w:rsidP="00457769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7DB8CD96" w14:textId="77777777" w:rsidR="00BB5FAB" w:rsidRPr="00165C4A" w:rsidRDefault="00BB5FAB" w:rsidP="00BB5FA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5B3E7B5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Vüqar Cəlilov</w:t>
      </w:r>
    </w:p>
    <w:p w14:paraId="51CCDA1A" w14:textId="77777777" w:rsidR="00BB5FAB" w:rsidRPr="00165C4A" w:rsidRDefault="00BB5FAB" w:rsidP="00BB5FA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ASCO-nun Satınalmalar Departamentinin aparıcı mütəxəssisi</w:t>
      </w:r>
    </w:p>
    <w:p w14:paraId="3AD7FEFF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+99451 229 62 79</w:t>
      </w:r>
    </w:p>
    <w:p w14:paraId="0B5E5787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vuqar.calilov@asco.az</w:t>
        </w:r>
      </w:hyperlink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, </w:t>
      </w:r>
      <w:hyperlink r:id="rId8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D50962F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</w:p>
    <w:p w14:paraId="579E4F22" w14:textId="77777777" w:rsidR="00BB5FAB" w:rsidRPr="00165C4A" w:rsidRDefault="00BB5FAB" w:rsidP="00BB5FA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6F4E9ED2" w14:textId="77777777" w:rsidR="00BB5FAB" w:rsidRPr="00165C4A" w:rsidRDefault="00BB5FAB" w:rsidP="00BB5FA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362FC577" w14:textId="77777777" w:rsidR="00BB5FAB" w:rsidRPr="00165C4A" w:rsidRDefault="00BB5FAB" w:rsidP="00BB5FAB">
      <w:pPr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9" w:history="1">
        <w:r w:rsidRPr="00165C4A">
          <w:rPr>
            <w:rFonts w:ascii="Inter" w:eastAsia="Times New Roman" w:hAnsi="Inter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61B744B7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4ED3FC31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57ECA3B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5C20F886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6678A083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E54765B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2FEF0C5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1DBFE27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1ADD0AC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5714E47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B9A189D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345D266E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86C3D23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264758EB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EC57D07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1FBCE29E" w14:textId="77777777" w:rsidR="004516E1" w:rsidRDefault="004516E1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77EB0445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E0FB1DF" w14:textId="77777777" w:rsidR="00BB5FAB" w:rsidRDefault="00BB5FAB" w:rsidP="00BB5FAB">
      <w:pPr>
        <w:rPr>
          <w:rFonts w:ascii="Inter" w:eastAsia="Times New Roman" w:hAnsi="Inter" w:cs="Times New Roman"/>
          <w:color w:val="050F21"/>
          <w:kern w:val="0"/>
          <w:sz w:val="21"/>
          <w:szCs w:val="21"/>
          <w14:ligatures w14:val="none"/>
        </w:rPr>
      </w:pPr>
    </w:p>
    <w:p w14:paraId="0B27739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389DE1E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5B1AE735" w14:textId="77777777" w:rsidR="00BB5FAB" w:rsidRDefault="00BB5FAB" w:rsidP="00BB5FA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3224D2F1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49BD369A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7AE47D9F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2AB42823" w14:textId="77777777" w:rsidR="00BB5FAB" w:rsidRDefault="00BB5FAB" w:rsidP="00BB5FA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C74856E" w14:textId="18112590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ASCO-nun </w:t>
      </w:r>
      <w:r w:rsidR="003D5B19">
        <w:rPr>
          <w:rFonts w:ascii="Arial" w:hAnsi="Arial" w:cs="Arial"/>
          <w:b/>
          <w:bCs/>
          <w:lang w:val="az-Latn-AZ" w:eastAsia="ru-RU"/>
        </w:rPr>
        <w:t>sədr müavini</w:t>
      </w:r>
    </w:p>
    <w:p w14:paraId="7D2FA812" w14:textId="6FA0BAA5" w:rsidR="00BB5FAB" w:rsidRDefault="00BB5FAB" w:rsidP="00BB5FA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444DC2" w:rsidRPr="00444DC2">
        <w:rPr>
          <w:rFonts w:ascii="Arial" w:hAnsi="Arial" w:cs="Arial"/>
          <w:b/>
          <w:bCs/>
          <w:lang w:val="az-Latn-AZ" w:eastAsia="ru-RU"/>
        </w:rPr>
        <w:t>Cəbrayıl Mahmudluya,</w:t>
      </w:r>
    </w:p>
    <w:p w14:paraId="284FB5F3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1503E50D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5176D8EC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576CAE39" w14:textId="77777777" w:rsidR="00BB5FAB" w:rsidRDefault="00BB5FAB" w:rsidP="00BB5FA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F64AE66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54837C42" w14:textId="77777777" w:rsidR="00BB5FAB" w:rsidRDefault="00BB5FAB" w:rsidP="00BB5FAB">
      <w:pPr>
        <w:spacing w:after="0"/>
        <w:jc w:val="both"/>
        <w:rPr>
          <w:rFonts w:ascii="Arial" w:hAnsi="Arial" w:cs="Arial"/>
          <w:lang w:val="az-Latn-AZ"/>
        </w:rPr>
      </w:pPr>
    </w:p>
    <w:p w14:paraId="5342DDE5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474785F0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1DEA29AC" w14:textId="77777777" w:rsidR="00BB5FAB" w:rsidRPr="00923D30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3B4D6B06" w14:textId="77777777" w:rsidR="00BB5FAB" w:rsidRDefault="00BB5FAB" w:rsidP="00BB5FA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240FA038" w14:textId="77777777" w:rsidR="00BB5FAB" w:rsidRDefault="00BB5FAB" w:rsidP="00BB5FA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682526C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0A0B70D" w14:textId="77777777" w:rsidR="00BB5FAB" w:rsidRDefault="00BB5FAB" w:rsidP="00BB5FA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09B41F1" w14:textId="77777777" w:rsidR="00BB5FAB" w:rsidRDefault="00BB5FAB" w:rsidP="00BB5FA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1F3D9AB0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9640724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2D72A235" w14:textId="77777777" w:rsidR="00BB5FAB" w:rsidRDefault="00BB5FAB" w:rsidP="00BB5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1C59296" w14:textId="77777777" w:rsidR="00BB5FAB" w:rsidRDefault="00BB5FAB" w:rsidP="00BB5FA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33955B56" w14:textId="77777777" w:rsidR="00BB5FAB" w:rsidRPr="00923D30" w:rsidRDefault="00BB5FAB" w:rsidP="00BB5FA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sectPr w:rsidR="00BB5FAB" w:rsidRPr="00923D30" w:rsidSect="00BB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Int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C3B"/>
    <w:multiLevelType w:val="hybridMultilevel"/>
    <w:tmpl w:val="B9487D8A"/>
    <w:lvl w:ilvl="0" w:tplc="9866E8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6D0A80F6">
      <w:numFmt w:val="bullet"/>
      <w:lvlText w:val="•"/>
      <w:lvlJc w:val="left"/>
      <w:pPr>
        <w:ind w:left="2772" w:hanging="360"/>
      </w:pPr>
      <w:rPr>
        <w:rFonts w:hint="default"/>
        <w:lang w:val="az" w:eastAsia="en-US" w:bidi="ar-SA"/>
      </w:rPr>
    </w:lvl>
    <w:lvl w:ilvl="2" w:tplc="05586730">
      <w:numFmt w:val="bullet"/>
      <w:lvlText w:val="•"/>
      <w:lvlJc w:val="left"/>
      <w:pPr>
        <w:ind w:left="3744" w:hanging="360"/>
      </w:pPr>
      <w:rPr>
        <w:rFonts w:hint="default"/>
        <w:lang w:val="az" w:eastAsia="en-US" w:bidi="ar-SA"/>
      </w:rPr>
    </w:lvl>
    <w:lvl w:ilvl="3" w:tplc="22EAAC96">
      <w:numFmt w:val="bullet"/>
      <w:lvlText w:val="•"/>
      <w:lvlJc w:val="left"/>
      <w:pPr>
        <w:ind w:left="4716" w:hanging="360"/>
      </w:pPr>
      <w:rPr>
        <w:rFonts w:hint="default"/>
        <w:lang w:val="az" w:eastAsia="en-US" w:bidi="ar-SA"/>
      </w:rPr>
    </w:lvl>
    <w:lvl w:ilvl="4" w:tplc="6868D952">
      <w:numFmt w:val="bullet"/>
      <w:lvlText w:val="•"/>
      <w:lvlJc w:val="left"/>
      <w:pPr>
        <w:ind w:left="5688" w:hanging="360"/>
      </w:pPr>
      <w:rPr>
        <w:rFonts w:hint="default"/>
        <w:lang w:val="az" w:eastAsia="en-US" w:bidi="ar-SA"/>
      </w:rPr>
    </w:lvl>
    <w:lvl w:ilvl="5" w:tplc="A7CA7166">
      <w:numFmt w:val="bullet"/>
      <w:lvlText w:val="•"/>
      <w:lvlJc w:val="left"/>
      <w:pPr>
        <w:ind w:left="6660" w:hanging="360"/>
      </w:pPr>
      <w:rPr>
        <w:rFonts w:hint="default"/>
        <w:lang w:val="az" w:eastAsia="en-US" w:bidi="ar-SA"/>
      </w:rPr>
    </w:lvl>
    <w:lvl w:ilvl="6" w:tplc="F6E8B004">
      <w:numFmt w:val="bullet"/>
      <w:lvlText w:val="•"/>
      <w:lvlJc w:val="left"/>
      <w:pPr>
        <w:ind w:left="7632" w:hanging="360"/>
      </w:pPr>
      <w:rPr>
        <w:rFonts w:hint="default"/>
        <w:lang w:val="az" w:eastAsia="en-US" w:bidi="ar-SA"/>
      </w:rPr>
    </w:lvl>
    <w:lvl w:ilvl="7" w:tplc="FA5AD56A">
      <w:numFmt w:val="bullet"/>
      <w:lvlText w:val="•"/>
      <w:lvlJc w:val="left"/>
      <w:pPr>
        <w:ind w:left="8604" w:hanging="360"/>
      </w:pPr>
      <w:rPr>
        <w:rFonts w:hint="default"/>
        <w:lang w:val="az" w:eastAsia="en-US" w:bidi="ar-SA"/>
      </w:rPr>
    </w:lvl>
    <w:lvl w:ilvl="8" w:tplc="FCACFB2E">
      <w:numFmt w:val="bullet"/>
      <w:lvlText w:val="•"/>
      <w:lvlJc w:val="left"/>
      <w:pPr>
        <w:ind w:left="9576" w:hanging="360"/>
      </w:pPr>
      <w:rPr>
        <w:rFonts w:hint="default"/>
        <w:lang w:val="az" w:eastAsia="en-US" w:bidi="ar-SA"/>
      </w:r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2"/>
  </w:num>
  <w:num w:numId="2" w16cid:durableId="2102750497">
    <w:abstractNumId w:val="1"/>
  </w:num>
  <w:num w:numId="3" w16cid:durableId="15156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B"/>
    <w:rsid w:val="00077F81"/>
    <w:rsid w:val="000F220F"/>
    <w:rsid w:val="002831B3"/>
    <w:rsid w:val="00362271"/>
    <w:rsid w:val="003D5B19"/>
    <w:rsid w:val="00444DC2"/>
    <w:rsid w:val="004516E1"/>
    <w:rsid w:val="005925BE"/>
    <w:rsid w:val="00661B47"/>
    <w:rsid w:val="006A282D"/>
    <w:rsid w:val="008A7C63"/>
    <w:rsid w:val="00BB5FAB"/>
    <w:rsid w:val="00FA7B21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4C31"/>
  <w15:chartTrackingRefBased/>
  <w15:docId w15:val="{8CB8570B-C6AD-4FB8-A52D-AA02D91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AB"/>
    <w:pPr>
      <w:spacing w:line="278" w:lineRule="auto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F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F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5FA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B5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5F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5F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5FA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5FAB"/>
    <w:rPr>
      <w:color w:val="467886" w:themeColor="hyperlink"/>
      <w:u w:val="single"/>
    </w:rPr>
  </w:style>
  <w:style w:type="character" w:customStyle="1" w:styleId="nwt1">
    <w:name w:val="nwt1"/>
    <w:basedOn w:val="a0"/>
    <w:rsid w:val="00BB5FAB"/>
  </w:style>
  <w:style w:type="table" w:styleId="ad">
    <w:name w:val="Table Grid"/>
    <w:aliases w:val="Table 1,Test,TabelEcorys,Tabla"/>
    <w:basedOn w:val="a1"/>
    <w:uiPriority w:val="59"/>
    <w:rsid w:val="00BB5FA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661B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az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661B47"/>
    <w:rPr>
      <w:rFonts w:ascii="Arial MT" w:eastAsia="Arial MT" w:hAnsi="Arial MT" w:cs="Arial MT"/>
      <w:kern w:val="0"/>
      <w:sz w:val="24"/>
      <w:szCs w:val="24"/>
      <w:lang w:val="az"/>
      <w14:ligatures w14:val="none"/>
    </w:rPr>
  </w:style>
  <w:style w:type="paragraph" w:customStyle="1" w:styleId="TableParagraph">
    <w:name w:val="Table Paragraph"/>
    <w:basedOn w:val="a"/>
    <w:uiPriority w:val="1"/>
    <w:qFormat/>
    <w:rsid w:val="00661B47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kern w:val="0"/>
      <w:sz w:val="22"/>
      <w:szCs w:val="22"/>
      <w:lang w:val="a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uqar.calil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ad.Hacialiye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4153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3</cp:revision>
  <dcterms:created xsi:type="dcterms:W3CDTF">2025-07-24T08:00:00Z</dcterms:created>
  <dcterms:modified xsi:type="dcterms:W3CDTF">2025-07-24T08:07:00Z</dcterms:modified>
</cp:coreProperties>
</file>