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946C" w14:textId="77777777" w:rsidR="00980948" w:rsidRDefault="009018A8" w:rsidP="00980948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11019CE8" wp14:editId="05ED2B07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0F0D0" w14:textId="77777777" w:rsidR="00CA4D8F" w:rsidRPr="00922497" w:rsidRDefault="009018A8" w:rsidP="00B45956">
      <w:pPr>
        <w:spacing w:after="60" w:line="480" w:lineRule="atLeast"/>
        <w:jc w:val="center"/>
        <w:rPr>
          <w:rFonts w:ascii="Inter" w:eastAsia="Times New Roman" w:hAnsi="Inter" w:cs="Times New Roman"/>
          <w:b/>
          <w:color w:val="050F21"/>
          <w:kern w:val="0"/>
          <w:lang w:val="az-Latn-AZ"/>
          <w14:ligatures w14:val="none"/>
        </w:rPr>
      </w:pPr>
      <w:r>
        <w:rPr>
          <w:rFonts w:ascii="Arial" w:eastAsia="Arial" w:hAnsi="Arial" w:cs="Arial"/>
          <w:b/>
          <w:bCs/>
          <w:lang w:val="ru-RU"/>
        </w:rPr>
        <w:t>Закупка услуг по установке темперного иллюминаторного стекла (включая демонтаж старого стекла, замену на новое, а также материалы) для установки на судах, находящихся в подчинении ASCO.</w:t>
      </w:r>
    </w:p>
    <w:p w14:paraId="493345E3" w14:textId="77777777" w:rsidR="00292D63" w:rsidRPr="009119B0" w:rsidRDefault="009018A8" w:rsidP="00292D63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6"/>
          <w:szCs w:val="26"/>
          <w:lang w:val="ru-RU"/>
        </w:rPr>
        <w:t>Общая информация:</w:t>
      </w:r>
    </w:p>
    <w:p w14:paraId="4F0CE5B6" w14:textId="77777777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Наименование закупочной организации:</w:t>
      </w:r>
    </w:p>
    <w:p w14:paraId="3CD56590" w14:textId="239A477B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ЗАКРЫТОЕ АКЦИОНЕРНОЕ ОБЩЕСТВО «АЗЕРБАЙДЖАНСКОЕ КАСПИЙСКОЕ МОРСКОЕ ПАРОХОДСТВО» (ASCO)</w:t>
      </w:r>
    </w:p>
    <w:p w14:paraId="61A6151C" w14:textId="77777777" w:rsidR="00CA4D8F" w:rsidRPr="009119B0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3B84BE2C" w14:textId="70B4F519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Адрес закупочной организации:</w:t>
      </w:r>
    </w:p>
    <w:p w14:paraId="6E806025" w14:textId="60C96DD9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Улица Микаила Усейнова 2, AZ1003, Сабаильский район, город Баку. </w:t>
      </w:r>
    </w:p>
    <w:p w14:paraId="4DF55431" w14:textId="77777777" w:rsidR="00CA4D8F" w:rsidRPr="009119B0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57ABB33E" w14:textId="77777777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Название конкурса:</w:t>
      </w:r>
    </w:p>
    <w:p w14:paraId="71082A63" w14:textId="77777777" w:rsidR="00CA4D8F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Закупка услуг по установке темперного иллюминаторного стекла (включая демонтаж старого стекла, замену на новое, а также материалы) для установки на судах, находящихся в подчинении ASCO.</w:t>
      </w:r>
    </w:p>
    <w:p w14:paraId="614F0223" w14:textId="77777777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Номер конкурса:</w:t>
      </w:r>
    </w:p>
    <w:p w14:paraId="0EFCCFDE" w14:textId="77777777" w:rsidR="00453EC2" w:rsidRPr="00453EC2" w:rsidRDefault="009018A8" w:rsidP="00453EC2">
      <w:pPr>
        <w:spacing w:after="0" w:line="300" w:lineRule="atLeast"/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AM019</w:t>
      </w:r>
      <w:r w:rsidR="00453EC2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-1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/2025</w:t>
      </w:r>
      <w:r w:rsidR="00453EC2" w:rsidRPr="00453EC2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 (Продление-1) </w:t>
      </w:r>
    </w:p>
    <w:p w14:paraId="5C0089A6" w14:textId="77777777" w:rsidR="00CA4D8F" w:rsidRPr="009119B0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1BAD9AB8" w14:textId="77777777" w:rsidR="00CA4D8F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 xml:space="preserve">Наименование, количество, объем и краткое описание предмета закупки: </w:t>
      </w:r>
    </w:p>
    <w:p w14:paraId="6E155085" w14:textId="77777777" w:rsidR="00CA4D8F" w:rsidRPr="009119B0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60"/>
        <w:gridCol w:w="5277"/>
        <w:gridCol w:w="1843"/>
        <w:gridCol w:w="1555"/>
      </w:tblGrid>
      <w:tr w:rsidR="002F4609" w14:paraId="526C0BFA" w14:textId="77777777" w:rsidTr="00B459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E9B0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Н\п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EA04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7690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6DB8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Количество</w:t>
            </w:r>
          </w:p>
        </w:tc>
      </w:tr>
      <w:tr w:rsidR="002F4609" w14:paraId="0D09B029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5163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F518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6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610D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0692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04DDED64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D350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7A4B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82CA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3674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7B2475E1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C282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E360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10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8DCC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C697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42D639BC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2F93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78A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12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3A82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4ABE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79AA2E85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AB8D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1A4A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15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4919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111C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7386FA48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8BDF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6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9EAF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18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9404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1B46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1A4BF502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A2A8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lastRenderedPageBreak/>
              <w:t>7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BC4E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DBCB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E451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268A1F1D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11AF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8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5D1C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22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E2CC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8DF8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1A8BDD81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61F8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9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370B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23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7391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61F5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7BB33DB7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6E1E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169E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24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7B34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2F2A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32B92A56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7F0E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1360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25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3B2B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ACAD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</w:tbl>
    <w:p w14:paraId="0499F5A5" w14:textId="77777777" w:rsidR="00CA4D8F" w:rsidRPr="00700FA2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217178FC" w14:textId="77777777" w:rsidR="00700FA2" w:rsidRPr="00700FA2" w:rsidRDefault="009018A8" w:rsidP="009119B0">
      <w:pPr>
        <w:pStyle w:val="a7"/>
        <w:spacing w:line="240" w:lineRule="auto"/>
        <w:ind w:left="709" w:hanging="9"/>
        <w:jc w:val="center"/>
        <w:rPr>
          <w:rFonts w:ascii="Inter" w:hAnsi="Inter" w:cs="Arial"/>
          <w:b/>
          <w:bCs/>
          <w:lang w:val="az-Latn-AZ"/>
        </w:rPr>
      </w:pPr>
      <w:r>
        <w:rPr>
          <w:rFonts w:ascii="Inter" w:eastAsia="Inter" w:hAnsi="Inter" w:cs="Arial"/>
          <w:b/>
          <w:bCs/>
          <w:lang w:val="ru-RU"/>
        </w:rPr>
        <w:t>Технические требования:</w:t>
      </w:r>
    </w:p>
    <w:p w14:paraId="193B1E50" w14:textId="77777777" w:rsidR="00B45956" w:rsidRDefault="009018A8" w:rsidP="009119B0">
      <w:pPr>
        <w:pStyle w:val="a7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Необходимо предоставить соответствующий документ, подтверждающий наличие производственной площадки.</w:t>
      </w:r>
    </w:p>
    <w:p w14:paraId="0C069079" w14:textId="77777777" w:rsidR="00B45956" w:rsidRPr="00AA49A9" w:rsidRDefault="009018A8" w:rsidP="009119B0">
      <w:pPr>
        <w:pStyle w:val="a7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Необходимо предоставить список сотрудников и копии соответствующих трудовых договоров.</w:t>
      </w:r>
    </w:p>
    <w:p w14:paraId="72E12847" w14:textId="77777777" w:rsidR="00B45956" w:rsidRPr="00AA49A9" w:rsidRDefault="009018A8" w:rsidP="009119B0">
      <w:pPr>
        <w:pStyle w:val="a7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 xml:space="preserve"> Условие оплаты принимается только по факту. Другие условия оплаты будут исключены из конкурса и не будут оцениваться.</w:t>
      </w:r>
    </w:p>
    <w:p w14:paraId="42D32015" w14:textId="77777777" w:rsidR="00B45956" w:rsidRPr="00AA49A9" w:rsidRDefault="009018A8" w:rsidP="009119B0">
      <w:pPr>
        <w:pStyle w:val="a7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lang w:val="ru-RU"/>
        </w:rPr>
        <w:t>Услуги будут предоставляться поэтапно по мере необходимости в течение года на основании соответствующего заказа.</w:t>
      </w:r>
    </w:p>
    <w:p w14:paraId="38829BDF" w14:textId="77777777" w:rsidR="00700FA2" w:rsidRPr="00700FA2" w:rsidRDefault="00700FA2" w:rsidP="00700FA2">
      <w:pPr>
        <w:pStyle w:val="a7"/>
        <w:ind w:left="709" w:hanging="9"/>
        <w:jc w:val="both"/>
        <w:rPr>
          <w:rFonts w:ascii="Inter" w:hAnsi="Inter" w:cs="Arial"/>
          <w:b/>
          <w:bCs/>
          <w:lang w:val="az-Latn-AZ"/>
        </w:rPr>
      </w:pPr>
    </w:p>
    <w:p w14:paraId="05A2967A" w14:textId="77777777" w:rsidR="00F17170" w:rsidRPr="00700FA2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Дата и время публикации конкурса:</w:t>
      </w:r>
    </w:p>
    <w:p w14:paraId="49737F57" w14:textId="14C21A34" w:rsidR="00292D63" w:rsidRPr="00C42778" w:rsidRDefault="00453EC2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27</w:t>
      </w:r>
      <w:r w:rsidR="009018A8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.05.2025 0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9</w:t>
      </w:r>
      <w:r w:rsidR="009018A8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: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3</w:t>
      </w:r>
      <w:r w:rsidR="009018A8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0</w:t>
      </w:r>
    </w:p>
    <w:p w14:paraId="6EE90F35" w14:textId="77777777" w:rsidR="00CA4D8F" w:rsidRPr="00C4277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7DF965F4" w14:textId="77777777" w:rsidR="00F17170" w:rsidRPr="00C42778" w:rsidRDefault="009018A8" w:rsidP="00F17170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Предельная дата и время подачи заявок (заявки, поданные после указанного времени,  не будут приниматься)</w:t>
      </w:r>
    </w:p>
    <w:p w14:paraId="63C92BAA" w14:textId="6DAC22A9" w:rsidR="00F17170" w:rsidRPr="00C42778" w:rsidRDefault="009018A8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до </w:t>
      </w:r>
      <w:r w:rsidR="009119B0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17:0</w:t>
      </w:r>
      <w:r w:rsidR="009119B0" w:rsidRPr="00453EC2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0, </w:t>
      </w:r>
      <w:r w:rsidR="00453EC2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04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.0</w:t>
      </w:r>
      <w:r w:rsidR="00453EC2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6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.2025  </w:t>
      </w:r>
    </w:p>
    <w:p w14:paraId="379CF37F" w14:textId="77777777" w:rsidR="00CA4D8F" w:rsidRPr="00C42778" w:rsidRDefault="00CA4D8F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1B3627B4" w14:textId="77777777" w:rsidR="00165C4A" w:rsidRPr="00C42778" w:rsidRDefault="009018A8" w:rsidP="00F17170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 xml:space="preserve">Язык, на котором должны быть подготовлены предложения: </w:t>
      </w:r>
    </w:p>
    <w:p w14:paraId="079DF2B2" w14:textId="77777777" w:rsidR="00165C4A" w:rsidRPr="00C42778" w:rsidRDefault="009018A8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Документы должны быть оформлены на азербайджанском языке в двух экземплярах (оригинал и копия)</w:t>
      </w:r>
    </w:p>
    <w:p w14:paraId="51744305" w14:textId="77777777" w:rsidR="00165C4A" w:rsidRPr="009119B0" w:rsidRDefault="009018A8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Конкурсные предложения на иностранном языке должны быть переведены на азербайджанский язык.</w:t>
      </w:r>
    </w:p>
    <w:p w14:paraId="743C0508" w14:textId="77777777" w:rsidR="00CA4D8F" w:rsidRPr="009119B0" w:rsidRDefault="00CA4D8F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3D9A0B87" w14:textId="77777777" w:rsidR="00292D63" w:rsidRPr="009119B0" w:rsidRDefault="009018A8" w:rsidP="00165C4A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 xml:space="preserve">Способ, место, окончательная дата и время подачи предложений 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(</w:t>
      </w:r>
      <w:r>
        <w:rPr>
          <w:rFonts w:ascii="Inter" w:eastAsia="Inter" w:hAnsi="Inter" w:cs="Times New Roman"/>
          <w:b/>
          <w:bCs/>
          <w:color w:val="050F21"/>
          <w:kern w:val="0"/>
          <w:sz w:val="25"/>
          <w:szCs w:val="25"/>
          <w:lang w:val="ru-RU"/>
        </w:rPr>
        <w:t xml:space="preserve">конверты, поступившие после указанного времени, будут возвращены без вскрытия) </w:t>
      </w:r>
    </w:p>
    <w:p w14:paraId="59B90B30" w14:textId="0A29A223" w:rsidR="00A5419B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Предложения должны быть поданы в запечатанном конверте (1 оригинал и 1 копия) в ASCO до 17:00 по Бакинскому времени </w:t>
      </w:r>
      <w:r w:rsidR="00453EC2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17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.06.2025 года. </w:t>
      </w:r>
    </w:p>
    <w:p w14:paraId="2AEF25C7" w14:textId="77777777" w:rsidR="00CA4D8F" w:rsidRPr="009119B0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33890801" w14:textId="77777777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Дата и время вскрытия конвертов:</w:t>
      </w:r>
    </w:p>
    <w:p w14:paraId="2B04D77F" w14:textId="689E3E16" w:rsidR="00A5419B" w:rsidRPr="009119B0" w:rsidRDefault="009119B0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12:00</w:t>
      </w:r>
      <w:r w:rsidRPr="00453EC2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, </w:t>
      </w:r>
      <w:r w:rsidR="00453EC2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18</w:t>
      </w:r>
      <w:r w:rsidR="009018A8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.06.2025 </w:t>
      </w:r>
    </w:p>
    <w:p w14:paraId="73CBE166" w14:textId="77777777" w:rsidR="00980948" w:rsidRPr="009119B0" w:rsidRDefault="0098094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:lang w:val="ru-RU"/>
          <w14:ligatures w14:val="none"/>
        </w:rPr>
      </w:pPr>
    </w:p>
    <w:p w14:paraId="6F930415" w14:textId="77777777" w:rsidR="00292D63" w:rsidRPr="009119B0" w:rsidRDefault="009018A8" w:rsidP="00292D63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387D71"/>
          <w:kern w:val="0"/>
          <w:sz w:val="25"/>
          <w:szCs w:val="25"/>
          <w:lang w:val="ru-RU"/>
        </w:rPr>
        <w:t>Взнос за участие: 50 АЗН.</w:t>
      </w:r>
    </w:p>
    <w:p w14:paraId="7610878C" w14:textId="77777777" w:rsidR="00292D63" w:rsidRPr="009119B0" w:rsidRDefault="009018A8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283A5B"/>
          <w:kern w:val="0"/>
          <w:sz w:val="25"/>
          <w:szCs w:val="25"/>
          <w:lang w:val="ru-RU"/>
        </w:rPr>
        <w:lastRenderedPageBreak/>
        <w:t>Поставщики должны первоначально предоставить прилагаемое письмо-заявку контактному лицу, а после получения Основных условий открытого тендера оплатить увзнос частие и только затем представить свои предложения.  Взнос за участие не возвращается ни при каких обстоятельствах, за исключением случая, если закупка не состоялась по причине участия менее трёх поставщиков.</w:t>
      </w:r>
    </w:p>
    <w:p w14:paraId="732CF1AE" w14:textId="77777777" w:rsidR="00E26429" w:rsidRPr="009119B0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:lang w:val="ru-RU"/>
          <w14:ligatures w14:val="none"/>
        </w:rPr>
      </w:pPr>
    </w:p>
    <w:p w14:paraId="1E4088BD" w14:textId="77777777" w:rsidR="00205C1A" w:rsidRPr="009119B0" w:rsidRDefault="00205C1A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:lang w:val="ru-RU"/>
          <w14:ligatures w14:val="none"/>
        </w:rPr>
      </w:pPr>
    </w:p>
    <w:p w14:paraId="2CCA7D20" w14:textId="77777777" w:rsidR="00E26429" w:rsidRPr="00E26429" w:rsidRDefault="009018A8" w:rsidP="00E26429">
      <w:pPr>
        <w:rPr>
          <w:rFonts w:ascii="Inter" w:hAnsi="Inter" w:cs="Arial"/>
          <w:lang w:val="az-Latn-AZ" w:eastAsia="ru-RU"/>
        </w:rPr>
      </w:pPr>
      <w:r>
        <w:rPr>
          <w:rFonts w:ascii="Inter" w:eastAsia="Inter" w:hAnsi="Inter" w:cs="Arial"/>
          <w:lang w:val="ru-RU" w:eastAsia="ru-RU"/>
        </w:rPr>
        <w:t xml:space="preserve">Допускается оплата суммы взноса за участие в манатах или в долларах США и Евро в эквивалентном размере.  </w:t>
      </w:r>
    </w:p>
    <w:p w14:paraId="6F2EEC85" w14:textId="77777777" w:rsidR="00E26429" w:rsidRPr="00E26429" w:rsidRDefault="009018A8" w:rsidP="00E26429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Inter" w:hAnsi="Inter" w:cs="Arial"/>
          <w:b/>
          <w:i/>
          <w:lang w:val="az-Latn-AZ" w:eastAsia="ru-RU"/>
        </w:rPr>
      </w:pPr>
      <w:r>
        <w:rPr>
          <w:rFonts w:ascii="Inter" w:eastAsia="Inter" w:hAnsi="Inter" w:cs="Arial"/>
          <w:b/>
          <w:bCs/>
          <w:i/>
          <w:iCs/>
          <w:lang w:val="ru-RU" w:eastAsia="ru-RU"/>
        </w:rPr>
        <w:t>Номер счета:</w:t>
      </w:r>
    </w:p>
    <w:p w14:paraId="7634977C" w14:textId="77777777" w:rsidR="00E26429" w:rsidRPr="00E26429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14:ligatures w14:val="none"/>
        </w:rPr>
      </w:pPr>
    </w:p>
    <w:tbl>
      <w:tblPr>
        <w:tblStyle w:val="ae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2F4609" w14:paraId="3B0C12A6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62E9" w14:textId="77777777" w:rsidR="00E26429" w:rsidRPr="00E26429" w:rsidRDefault="009018A8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  <w:lang w:val="ru-RU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7004" w14:textId="77777777" w:rsidR="00E26429" w:rsidRPr="00E26429" w:rsidRDefault="009018A8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  <w:lang w:val="ru-RU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2E75" w14:textId="77777777" w:rsidR="00E26429" w:rsidRPr="00E26429" w:rsidRDefault="009018A8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  <w:lang w:val="ru-RU"/>
              </w:rPr>
              <w:t>EURO</w:t>
            </w:r>
          </w:p>
        </w:tc>
      </w:tr>
      <w:tr w:rsidR="002F4609" w14:paraId="36A597D7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4378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Наименование: Международный Банк Азербайджана</w:t>
            </w:r>
          </w:p>
          <w:p w14:paraId="450D3247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АМБ – Департамент Клиентского Обслуживания</w:t>
            </w:r>
          </w:p>
          <w:p w14:paraId="264EA5E9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Код: 805250</w:t>
            </w:r>
          </w:p>
          <w:p w14:paraId="323FA680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VÖEN: 9900001881</w:t>
            </w:r>
          </w:p>
          <w:p w14:paraId="4EE34195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Корреспондентский счет: AZ03NABZ01350100000000002944</w:t>
            </w:r>
          </w:p>
          <w:p w14:paraId="7F57DD19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SWIFT: IBAZAZ2X</w:t>
            </w:r>
          </w:p>
          <w:p w14:paraId="68C9FE77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bCs/>
                <w:sz w:val="24"/>
                <w:szCs w:val="24"/>
                <w:lang w:val="az-Latn-AZ"/>
              </w:rPr>
              <w:t>Клиент-получатель: AZARB.XAZAR DANIZ GAMICILIYI QSC</w:t>
            </w:r>
          </w:p>
          <w:p w14:paraId="28341B23" w14:textId="77777777" w:rsidR="00E26429" w:rsidRPr="00E26429" w:rsidRDefault="009018A8" w:rsidP="005C2A6C">
            <w:pPr>
              <w:rPr>
                <w:rStyle w:val="nwt1"/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VÖEN: 1701579951</w:t>
            </w:r>
          </w:p>
          <w:p w14:paraId="7201C383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Счет № (AZN):   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6277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 xml:space="preserve">Intermediary Bank: Citibank N.Y, </w:t>
            </w:r>
          </w:p>
          <w:p w14:paraId="17EC3C09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bCs/>
                <w:sz w:val="24"/>
                <w:szCs w:val="24"/>
              </w:rPr>
              <w:t>New York</w:t>
            </w:r>
          </w:p>
          <w:p w14:paraId="5CC7DFB6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bCs/>
                <w:sz w:val="24"/>
                <w:szCs w:val="24"/>
              </w:rPr>
              <w:t>Acc.36083186, SWIFT: CITIUS33</w:t>
            </w:r>
          </w:p>
          <w:p w14:paraId="7ADE3D07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Beneficiary Bank: The International Bank of Azerbaijan</w:t>
            </w:r>
          </w:p>
          <w:p w14:paraId="3AD835AC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bCs/>
                <w:sz w:val="24"/>
                <w:szCs w:val="24"/>
              </w:rPr>
              <w:t>IBA - Customer Service Department</w:t>
            </w:r>
          </w:p>
          <w:p w14:paraId="138FD257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bCs/>
                <w:sz w:val="24"/>
                <w:szCs w:val="24"/>
              </w:rPr>
              <w:t xml:space="preserve">SWIFT: IBAZAZ2X </w:t>
            </w:r>
          </w:p>
          <w:p w14:paraId="0F8518B1" w14:textId="77777777" w:rsidR="00E26429" w:rsidRPr="00E26429" w:rsidRDefault="009018A8" w:rsidP="005C2A6C">
            <w:pPr>
              <w:rPr>
                <w:rStyle w:val="nwt1"/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bCs/>
                <w:sz w:val="24"/>
                <w:szCs w:val="24"/>
              </w:rPr>
              <w:t>Nizami str., 67</w:t>
            </w:r>
            <w:r w:rsidRPr="009119B0">
              <w:rPr>
                <w:rFonts w:ascii="Inter" w:eastAsia="Inter" w:hAnsi="Inter" w:cs="Arial"/>
                <w:bCs/>
                <w:sz w:val="24"/>
                <w:szCs w:val="24"/>
              </w:rPr>
              <w:br/>
              <w:t xml:space="preserve"> Beneficiary:   AZARB.XAZAR DANIZ GAMICILIYI QSC</w:t>
            </w:r>
          </w:p>
          <w:p w14:paraId="001103EA" w14:textId="77777777" w:rsidR="00E26429" w:rsidRPr="00E26429" w:rsidRDefault="009018A8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TAX ID:  1701579951</w:t>
            </w:r>
          </w:p>
          <w:p w14:paraId="27CFD1AB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Account No.             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66A9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Intermediary Bank: Commerzbank AG, Frankfurt am Main</w:t>
            </w:r>
          </w:p>
          <w:p w14:paraId="4C8E4B31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SWIFT: COBADEFF</w:t>
            </w:r>
          </w:p>
          <w:p w14:paraId="09E782ED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ACC # 400 88 660 3001</w:t>
            </w:r>
          </w:p>
          <w:p w14:paraId="119675B3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Beneficiary Bank: The International Bank of Azerbaijan,</w:t>
            </w:r>
          </w:p>
          <w:p w14:paraId="542DFEF6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IBA-Premier Customer Service</w:t>
            </w:r>
          </w:p>
          <w:p w14:paraId="039B0048" w14:textId="77777777" w:rsidR="00E26429" w:rsidRPr="00E26429" w:rsidRDefault="009018A8" w:rsidP="005C2A6C">
            <w:pPr>
              <w:pStyle w:val="2"/>
              <w:spacing w:before="0" w:after="0"/>
              <w:rPr>
                <w:rFonts w:ascii="Inter" w:hAnsi="Inter" w:cs="Arial"/>
                <w:b/>
                <w:i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color w:val="0F4761"/>
                <w:sz w:val="24"/>
                <w:szCs w:val="24"/>
              </w:rPr>
              <w:t xml:space="preserve">SWIFT: IBAZAZ2X </w:t>
            </w:r>
          </w:p>
          <w:p w14:paraId="6C66869F" w14:textId="77777777" w:rsidR="00E26429" w:rsidRPr="00E26429" w:rsidRDefault="009018A8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Nizami str., 67</w:t>
            </w:r>
            <w:r w:rsidRPr="009119B0">
              <w:rPr>
                <w:rFonts w:ascii="Inter" w:eastAsia="Inter" w:hAnsi="Inter" w:cs="Arial"/>
                <w:sz w:val="24"/>
                <w:szCs w:val="24"/>
              </w:rPr>
              <w:br/>
              <w:t xml:space="preserve"> Beneficiary: Azerbaijan Caspian Shipping CJSC</w:t>
            </w:r>
          </w:p>
          <w:p w14:paraId="34477201" w14:textId="77777777" w:rsidR="00E26429" w:rsidRPr="00E26429" w:rsidRDefault="009018A8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  <w:lang w:val="ru-RU"/>
              </w:rPr>
              <w:t>TAX ID: 1701579951</w:t>
            </w:r>
          </w:p>
          <w:p w14:paraId="33ED6E1A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  <w:lang w:val="ru-RU"/>
              </w:rPr>
              <w:t>Account №:                AZ06IBAZ38150019781115341120</w:t>
            </w:r>
          </w:p>
        </w:tc>
      </w:tr>
    </w:tbl>
    <w:p w14:paraId="09BED605" w14:textId="77777777" w:rsidR="00E26429" w:rsidRPr="00165C4A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79253928" w14:textId="77777777" w:rsidR="00B45956" w:rsidRPr="009119B0" w:rsidRDefault="009018A8" w:rsidP="00B45956">
      <w:pPr>
        <w:pStyle w:val="Paint"/>
        <w:tabs>
          <w:tab w:val="left" w:pos="720"/>
        </w:tabs>
        <w:spacing w:before="0" w:after="0"/>
        <w:rPr>
          <w:rFonts w:ascii="Inter" w:eastAsia="Times New Roman" w:hAnsi="Inter"/>
          <w:color w:val="050F21"/>
          <w:kern w:val="0"/>
          <w:sz w:val="25"/>
          <w:szCs w:val="25"/>
          <w:lang w:eastAsia="en-US"/>
        </w:rPr>
      </w:pPr>
      <w:r>
        <w:rPr>
          <w:rFonts w:ascii="Inter" w:eastAsia="Inter" w:hAnsi="Inter"/>
          <w:color w:val="050F21"/>
          <w:kern w:val="0"/>
          <w:sz w:val="25"/>
          <w:szCs w:val="25"/>
          <w:lang w:eastAsia="en-US"/>
        </w:rPr>
        <w:t>Контактное лицо: Эмиль Гасанов - Ведущий специалист  Департамента Закупок АСКО</w:t>
      </w:r>
    </w:p>
    <w:p w14:paraId="240EAE57" w14:textId="77777777" w:rsidR="00B45956" w:rsidRPr="009119B0" w:rsidRDefault="009018A8" w:rsidP="00B45956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Телефон: +99450 422 00 11</w:t>
      </w:r>
    </w:p>
    <w:p w14:paraId="62430E5A" w14:textId="1E0236BB" w:rsidR="00B45956" w:rsidRPr="009119B0" w:rsidRDefault="009119B0" w:rsidP="00B45956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Адрес электронной почты</w:t>
      </w:r>
      <w:r w:rsidR="009018A8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: emil.hasanov@asco.az,    </w:t>
      </w:r>
      <w:hyperlink r:id="rId8" w:history="1">
        <w:r w:rsidR="009018A8">
          <w:rPr>
            <w:rFonts w:ascii="Inter" w:eastAsia="Inter" w:hAnsi="Inter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  <w:r w:rsidR="009018A8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  </w:t>
      </w:r>
    </w:p>
    <w:p w14:paraId="418A8F3A" w14:textId="77777777" w:rsidR="00B45956" w:rsidRPr="009119B0" w:rsidRDefault="00B45956" w:rsidP="00B45956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</w:p>
    <w:p w14:paraId="7BA5798F" w14:textId="77777777" w:rsidR="00B45956" w:rsidRPr="009119B0" w:rsidRDefault="009018A8" w:rsidP="00B45956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Контактное лицо: Айтен Новрузова, - специалист Департамента Закупок ASCO Телефон: внутр. 10-64</w:t>
      </w:r>
    </w:p>
    <w:p w14:paraId="16356CD2" w14:textId="55FA72FB" w:rsidR="00B45956" w:rsidRPr="009119B0" w:rsidRDefault="009018A8" w:rsidP="00B45956">
      <w:pPr>
        <w:tabs>
          <w:tab w:val="left" w:pos="261"/>
        </w:tabs>
        <w:spacing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Адрес электронной почты:</w:t>
      </w:r>
      <w:r w:rsidR="009119B0" w:rsidRPr="009119B0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 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 ayten.novruzova@asco.az,    </w:t>
      </w:r>
      <w:hyperlink r:id="rId9" w:history="1">
        <w:r>
          <w:rPr>
            <w:rFonts w:ascii="Inter" w:eastAsia="Inter" w:hAnsi="Inter" w:cs="Times New Roman"/>
            <w:color w:val="050F21"/>
            <w:kern w:val="0"/>
            <w:sz w:val="25"/>
            <w:szCs w:val="25"/>
            <w:lang w:val="ru-RU"/>
          </w:rPr>
          <w:t xml:space="preserve">tender@asco.az  </w:t>
        </w:r>
      </w:hyperlink>
    </w:p>
    <w:p w14:paraId="1A9C7029" w14:textId="0419F93A" w:rsidR="00A5419B" w:rsidRPr="009119B0" w:rsidRDefault="009018A8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По юридическим вопросам:</w:t>
      </w:r>
    </w:p>
    <w:p w14:paraId="7E878D63" w14:textId="77777777" w:rsidR="00A5419B" w:rsidRPr="009119B0" w:rsidRDefault="009018A8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Телефонный номер: +994 12 4043700 (внутр. 1098)</w:t>
      </w:r>
    </w:p>
    <w:p w14:paraId="31480D85" w14:textId="77777777" w:rsidR="00292D63" w:rsidRPr="009119B0" w:rsidRDefault="009018A8" w:rsidP="00A5419B">
      <w:pPr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Адрес электронной почты: </w:t>
      </w:r>
      <w:hyperlink r:id="rId10" w:history="1">
        <w:r>
          <w:rPr>
            <w:rFonts w:ascii="Inter" w:eastAsia="Inter" w:hAnsi="Inter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</w:p>
    <w:p w14:paraId="24E19803" w14:textId="77777777" w:rsidR="007418BE" w:rsidRDefault="009018A8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lang w:val="ru-RU"/>
        </w:rPr>
        <w:t>(на бланке участника-претендента)</w:t>
      </w:r>
      <w:r>
        <w:rPr>
          <w:rFonts w:ascii="Arial" w:eastAsia="Arial" w:hAnsi="Arial" w:cs="Arial"/>
          <w:b/>
          <w:bCs/>
          <w:lang w:val="ru-RU"/>
        </w:rPr>
        <w:t>)</w:t>
      </w:r>
    </w:p>
    <w:p w14:paraId="7D917ACF" w14:textId="77777777" w:rsidR="007418BE" w:rsidRDefault="009018A8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ПИСЬМО ЗАЯВКА</w:t>
      </w:r>
    </w:p>
    <w:p w14:paraId="51216197" w14:textId="77777777" w:rsidR="007418BE" w:rsidRDefault="009018A8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НА УЧАСТИЕ В ОТКРЫТОМ ТЕНДЕРЕ</w:t>
      </w:r>
    </w:p>
    <w:p w14:paraId="08A9CA95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74CD58BE" w14:textId="77777777" w:rsidR="007418BE" w:rsidRDefault="009018A8" w:rsidP="007418BE">
      <w:pPr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>Город _______ “___”_________2025 года</w:t>
      </w:r>
    </w:p>
    <w:p w14:paraId="04D26E15" w14:textId="77777777" w:rsidR="007418BE" w:rsidRDefault="009018A8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17D5D540" w14:textId="77777777" w:rsidR="007418BE" w:rsidRDefault="007418BE" w:rsidP="007418BE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0162C5E1" w14:textId="77777777" w:rsidR="007418BE" w:rsidRDefault="009018A8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eastAsia="Arial" w:hAnsi="Arial" w:cs="Arial"/>
          <w:b/>
          <w:bCs/>
          <w:lang w:val="ru-RU" w:eastAsia="ru-RU"/>
        </w:rPr>
        <w:t>Председателю Закупочной Комиссии ASCO</w:t>
      </w:r>
    </w:p>
    <w:p w14:paraId="454E031C" w14:textId="77777777" w:rsidR="007418BE" w:rsidRDefault="009018A8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eastAsia="Arial" w:hAnsi="Arial" w:cs="Arial"/>
          <w:b/>
          <w:bCs/>
          <w:lang w:val="ru-RU" w:eastAsia="ru-RU"/>
        </w:rPr>
        <w:t>г-н Джабраилу Махмудлу,</w:t>
      </w:r>
    </w:p>
    <w:p w14:paraId="5CDA0FC1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349B4877" w14:textId="77777777" w:rsidR="007418BE" w:rsidRDefault="009018A8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Настоящей заявкой [с указанием полного наименования претендента-подрядчика] подтверждает намерение принять участие в открытом тендере № [с указанием претендентом номера конкурса], объявленном «АСКО» в связи с закупкой «__________».</w:t>
      </w:r>
    </w:p>
    <w:p w14:paraId="4437BF8B" w14:textId="77777777" w:rsidR="007418BE" w:rsidRDefault="009018A8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При этом подтверждаем, что в отношении [</w:t>
      </w:r>
      <w:r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с указанием полного наименования претендента-подрядчика </w:t>
      </w:r>
      <w:r>
        <w:rPr>
          <w:rFonts w:ascii="Arial" w:eastAsia="Arial" w:hAnsi="Arial" w:cs="Arial"/>
          <w:lang w:val="ru-RU"/>
        </w:rPr>
        <w:t xml:space="preserve">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14:paraId="29BC07D2" w14:textId="77777777" w:rsidR="007418BE" w:rsidRDefault="009018A8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Гарантируем, что [</w:t>
      </w:r>
      <w:r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с указанием полного наименования претендента-подрядчика </w:t>
      </w:r>
      <w:r>
        <w:rPr>
          <w:rFonts w:ascii="Arial" w:eastAsia="Arial" w:hAnsi="Arial" w:cs="Arial"/>
          <w:lang w:val="ru-RU"/>
        </w:rPr>
        <w:t>] не является лицом, связанным с АСКО.</w:t>
      </w:r>
    </w:p>
    <w:p w14:paraId="2D84D257" w14:textId="77777777" w:rsidR="007418BE" w:rsidRDefault="009018A8" w:rsidP="007418BE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61F48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</w:p>
    <w:p w14:paraId="436AF887" w14:textId="77777777" w:rsidR="007418BE" w:rsidRDefault="009018A8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Контактное лицо: </w:t>
      </w:r>
    </w:p>
    <w:p w14:paraId="79CD380B" w14:textId="77777777" w:rsidR="007418BE" w:rsidRDefault="009018A8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Должность контактного лица: </w:t>
      </w:r>
    </w:p>
    <w:p w14:paraId="50EBF881" w14:textId="77777777" w:rsidR="007418BE" w:rsidRPr="00923D30" w:rsidRDefault="009018A8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Телефон: </w:t>
      </w:r>
    </w:p>
    <w:p w14:paraId="07A9461B" w14:textId="77777777" w:rsidR="007418BE" w:rsidRDefault="009018A8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E-mail: </w:t>
      </w:r>
    </w:p>
    <w:p w14:paraId="03F33A1A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2508A514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57B1BB7E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5872B8B3" w14:textId="77777777" w:rsidR="007418BE" w:rsidRDefault="009018A8" w:rsidP="007418BE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44248265" w14:textId="77777777" w:rsidR="007418BE" w:rsidRDefault="009018A8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vertAlign w:val="superscript"/>
          <w:lang w:val="ru-RU" w:eastAsia="ru-RU"/>
        </w:rPr>
        <w:t>(Ф.И.О. уполномоченного лица) (подпись уполномоченного лица)</w:t>
      </w:r>
    </w:p>
    <w:p w14:paraId="47AB2E96" w14:textId="77777777" w:rsidR="007418BE" w:rsidRDefault="009018A8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0D271ECA" w14:textId="77777777" w:rsidR="007418BE" w:rsidRDefault="009018A8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vertAlign w:val="superscript"/>
          <w:lang w:val="ru-RU" w:eastAsia="ru-RU"/>
        </w:rPr>
        <w:t>(должность уполномоченного лица)</w:t>
      </w:r>
    </w:p>
    <w:p w14:paraId="30D4ED3F" w14:textId="77777777" w:rsidR="007418BE" w:rsidRDefault="009018A8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739E56C3" w14:textId="77777777" w:rsidR="007418BE" w:rsidRPr="00923D30" w:rsidRDefault="009018A8" w:rsidP="007418BE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val="ru-RU" w:eastAsia="ru-RU"/>
        </w:rPr>
        <w:t>M.П.</w:t>
      </w:r>
    </w:p>
    <w:p w14:paraId="1C735E9E" w14:textId="77777777" w:rsidR="007418BE" w:rsidRP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7418BE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0CAFB" w14:textId="77777777" w:rsidR="00E05D5F" w:rsidRDefault="00E05D5F" w:rsidP="00253746">
      <w:pPr>
        <w:spacing w:after="0" w:line="240" w:lineRule="auto"/>
      </w:pPr>
      <w:r>
        <w:separator/>
      </w:r>
    </w:p>
  </w:endnote>
  <w:endnote w:type="continuationSeparator" w:id="0">
    <w:p w14:paraId="44EE498C" w14:textId="77777777" w:rsidR="00E05D5F" w:rsidRDefault="00E05D5F" w:rsidP="0025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86886" w14:textId="77777777" w:rsidR="00E05D5F" w:rsidRDefault="00E05D5F" w:rsidP="00253746">
      <w:pPr>
        <w:spacing w:after="0" w:line="240" w:lineRule="auto"/>
      </w:pPr>
      <w:r>
        <w:separator/>
      </w:r>
    </w:p>
  </w:footnote>
  <w:footnote w:type="continuationSeparator" w:id="0">
    <w:p w14:paraId="763ECF80" w14:textId="77777777" w:rsidR="00E05D5F" w:rsidRDefault="00E05D5F" w:rsidP="00253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A34B7"/>
    <w:multiLevelType w:val="hybridMultilevel"/>
    <w:tmpl w:val="8AE86EA6"/>
    <w:lvl w:ilvl="0" w:tplc="2EB4FAF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29849B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F94E70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6B2D27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234247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E52268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C1AAB5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4143E0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FFC529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BAF0222"/>
    <w:multiLevelType w:val="hybridMultilevel"/>
    <w:tmpl w:val="98603D48"/>
    <w:lvl w:ilvl="0" w:tplc="5558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80608A" w:tentative="1">
      <w:start w:val="1"/>
      <w:numFmt w:val="lowerLetter"/>
      <w:lvlText w:val="%2."/>
      <w:lvlJc w:val="left"/>
      <w:pPr>
        <w:ind w:left="1440" w:hanging="360"/>
      </w:pPr>
    </w:lvl>
    <w:lvl w:ilvl="2" w:tplc="0ECE5A36" w:tentative="1">
      <w:start w:val="1"/>
      <w:numFmt w:val="lowerRoman"/>
      <w:lvlText w:val="%3."/>
      <w:lvlJc w:val="right"/>
      <w:pPr>
        <w:ind w:left="2160" w:hanging="180"/>
      </w:pPr>
    </w:lvl>
    <w:lvl w:ilvl="3" w:tplc="3D045764" w:tentative="1">
      <w:start w:val="1"/>
      <w:numFmt w:val="decimal"/>
      <w:lvlText w:val="%4."/>
      <w:lvlJc w:val="left"/>
      <w:pPr>
        <w:ind w:left="2880" w:hanging="360"/>
      </w:pPr>
    </w:lvl>
    <w:lvl w:ilvl="4" w:tplc="15F01162" w:tentative="1">
      <w:start w:val="1"/>
      <w:numFmt w:val="lowerLetter"/>
      <w:lvlText w:val="%5."/>
      <w:lvlJc w:val="left"/>
      <w:pPr>
        <w:ind w:left="3600" w:hanging="360"/>
      </w:pPr>
    </w:lvl>
    <w:lvl w:ilvl="5" w:tplc="3A4A7BB6" w:tentative="1">
      <w:start w:val="1"/>
      <w:numFmt w:val="lowerRoman"/>
      <w:lvlText w:val="%6."/>
      <w:lvlJc w:val="right"/>
      <w:pPr>
        <w:ind w:left="4320" w:hanging="180"/>
      </w:pPr>
    </w:lvl>
    <w:lvl w:ilvl="6" w:tplc="9C3E6CB8" w:tentative="1">
      <w:start w:val="1"/>
      <w:numFmt w:val="decimal"/>
      <w:lvlText w:val="%7."/>
      <w:lvlJc w:val="left"/>
      <w:pPr>
        <w:ind w:left="5040" w:hanging="360"/>
      </w:pPr>
    </w:lvl>
    <w:lvl w:ilvl="7" w:tplc="572A51E2" w:tentative="1">
      <w:start w:val="1"/>
      <w:numFmt w:val="lowerLetter"/>
      <w:lvlText w:val="%8."/>
      <w:lvlJc w:val="left"/>
      <w:pPr>
        <w:ind w:left="5760" w:hanging="360"/>
      </w:pPr>
    </w:lvl>
    <w:lvl w:ilvl="8" w:tplc="B3C2B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93D2E"/>
    <w:multiLevelType w:val="hybridMultilevel"/>
    <w:tmpl w:val="32BA8586"/>
    <w:lvl w:ilvl="0" w:tplc="9CC24C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9DE47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42C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0C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29A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66D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4C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AF0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21CA"/>
    <w:multiLevelType w:val="hybridMultilevel"/>
    <w:tmpl w:val="17C41526"/>
    <w:lvl w:ilvl="0" w:tplc="C8FC273E">
      <w:start w:val="1"/>
      <w:numFmt w:val="decimal"/>
      <w:lvlText w:val="%1."/>
      <w:lvlJc w:val="left"/>
      <w:pPr>
        <w:ind w:left="720" w:hanging="360"/>
      </w:pPr>
    </w:lvl>
    <w:lvl w:ilvl="1" w:tplc="C2E679B0">
      <w:start w:val="1"/>
      <w:numFmt w:val="lowerLetter"/>
      <w:lvlText w:val="%2."/>
      <w:lvlJc w:val="left"/>
      <w:pPr>
        <w:ind w:left="1440" w:hanging="360"/>
      </w:pPr>
    </w:lvl>
    <w:lvl w:ilvl="2" w:tplc="E3720958">
      <w:start w:val="1"/>
      <w:numFmt w:val="lowerRoman"/>
      <w:lvlText w:val="%3."/>
      <w:lvlJc w:val="right"/>
      <w:pPr>
        <w:ind w:left="2160" w:hanging="180"/>
      </w:pPr>
    </w:lvl>
    <w:lvl w:ilvl="3" w:tplc="D3D67AA8">
      <w:start w:val="1"/>
      <w:numFmt w:val="decimal"/>
      <w:lvlText w:val="%4."/>
      <w:lvlJc w:val="left"/>
      <w:pPr>
        <w:ind w:left="2880" w:hanging="360"/>
      </w:pPr>
    </w:lvl>
    <w:lvl w:ilvl="4" w:tplc="ECAE57DC">
      <w:start w:val="1"/>
      <w:numFmt w:val="lowerLetter"/>
      <w:lvlText w:val="%5."/>
      <w:lvlJc w:val="left"/>
      <w:pPr>
        <w:ind w:left="3600" w:hanging="360"/>
      </w:pPr>
    </w:lvl>
    <w:lvl w:ilvl="5" w:tplc="237CAF20">
      <w:start w:val="1"/>
      <w:numFmt w:val="lowerRoman"/>
      <w:lvlText w:val="%6."/>
      <w:lvlJc w:val="right"/>
      <w:pPr>
        <w:ind w:left="4320" w:hanging="180"/>
      </w:pPr>
    </w:lvl>
    <w:lvl w:ilvl="6" w:tplc="F88CB738">
      <w:start w:val="1"/>
      <w:numFmt w:val="decimal"/>
      <w:lvlText w:val="%7."/>
      <w:lvlJc w:val="left"/>
      <w:pPr>
        <w:ind w:left="5040" w:hanging="360"/>
      </w:pPr>
    </w:lvl>
    <w:lvl w:ilvl="7" w:tplc="55EA5380">
      <w:start w:val="1"/>
      <w:numFmt w:val="lowerLetter"/>
      <w:lvlText w:val="%8."/>
      <w:lvlJc w:val="left"/>
      <w:pPr>
        <w:ind w:left="5760" w:hanging="360"/>
      </w:pPr>
    </w:lvl>
    <w:lvl w:ilvl="8" w:tplc="E9725FA8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98537">
    <w:abstractNumId w:val="2"/>
  </w:num>
  <w:num w:numId="2" w16cid:durableId="1112357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490941">
    <w:abstractNumId w:val="0"/>
  </w:num>
  <w:num w:numId="4" w16cid:durableId="36513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63"/>
    <w:rsid w:val="00125B0D"/>
    <w:rsid w:val="00164787"/>
    <w:rsid w:val="00165C4A"/>
    <w:rsid w:val="00205C1A"/>
    <w:rsid w:val="00253746"/>
    <w:rsid w:val="00292D63"/>
    <w:rsid w:val="002F4609"/>
    <w:rsid w:val="003C7E6C"/>
    <w:rsid w:val="003D6CDE"/>
    <w:rsid w:val="00453EC2"/>
    <w:rsid w:val="004B5F27"/>
    <w:rsid w:val="004C134D"/>
    <w:rsid w:val="005C2A6C"/>
    <w:rsid w:val="005E6D99"/>
    <w:rsid w:val="0065474A"/>
    <w:rsid w:val="00671F14"/>
    <w:rsid w:val="006D144F"/>
    <w:rsid w:val="00700FA2"/>
    <w:rsid w:val="007418BE"/>
    <w:rsid w:val="007A2CDF"/>
    <w:rsid w:val="008F0F4C"/>
    <w:rsid w:val="009018A8"/>
    <w:rsid w:val="009119B0"/>
    <w:rsid w:val="00922497"/>
    <w:rsid w:val="00923D30"/>
    <w:rsid w:val="00980948"/>
    <w:rsid w:val="00A5419B"/>
    <w:rsid w:val="00AA045D"/>
    <w:rsid w:val="00AA49A9"/>
    <w:rsid w:val="00B0612A"/>
    <w:rsid w:val="00B45956"/>
    <w:rsid w:val="00B94D74"/>
    <w:rsid w:val="00BF260C"/>
    <w:rsid w:val="00C15236"/>
    <w:rsid w:val="00C42778"/>
    <w:rsid w:val="00C80E29"/>
    <w:rsid w:val="00CA3A40"/>
    <w:rsid w:val="00CA4D8F"/>
    <w:rsid w:val="00D471AF"/>
    <w:rsid w:val="00D762FF"/>
    <w:rsid w:val="00D8624F"/>
    <w:rsid w:val="00E05D5F"/>
    <w:rsid w:val="00E26429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7F9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D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D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D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D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2D6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a0"/>
    <w:rsid w:val="00E26429"/>
  </w:style>
  <w:style w:type="table" w:styleId="ae">
    <w:name w:val="Table Grid"/>
    <w:aliases w:val="TabelEcorys,Tabla,Table 1,Test"/>
    <w:basedOn w:val="a1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af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af">
    <w:name w:val="Body Text"/>
    <w:basedOn w:val="a"/>
    <w:link w:val="af0"/>
    <w:uiPriority w:val="99"/>
    <w:semiHidden/>
    <w:unhideWhenUsed/>
    <w:rsid w:val="00B4595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45956"/>
  </w:style>
  <w:style w:type="paragraph" w:styleId="af1">
    <w:name w:val="header"/>
    <w:basedOn w:val="a"/>
    <w:link w:val="af2"/>
    <w:uiPriority w:val="99"/>
    <w:unhideWhenUsed/>
    <w:rsid w:val="00253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53746"/>
  </w:style>
  <w:style w:type="paragraph" w:styleId="af3">
    <w:name w:val="footer"/>
    <w:basedOn w:val="a"/>
    <w:link w:val="af4"/>
    <w:uiPriority w:val="99"/>
    <w:unhideWhenUsed/>
    <w:rsid w:val="00253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53746"/>
  </w:style>
  <w:style w:type="paragraph" w:styleId="HTML">
    <w:name w:val="HTML Preformatted"/>
    <w:basedOn w:val="a"/>
    <w:link w:val="HTML0"/>
    <w:uiPriority w:val="99"/>
    <w:semiHidden/>
    <w:unhideWhenUsed/>
    <w:rsid w:val="00453EC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3EC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3957</Words>
  <Characters>2257</Characters>
  <Application>Microsoft Office Word</Application>
  <DocSecurity>0</DocSecurity>
  <Lines>18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2025-05-19T12:49:00Z</dcterms:created>
  <dcterms:modified xsi:type="dcterms:W3CDTF">2025-05-27T05:25:00Z</dcterms:modified>
</cp:coreProperties>
</file>