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0A" w:rsidRDefault="001A4B0A" w:rsidP="001A4B0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1A4B0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124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1A4B0A" w:rsidRDefault="001A4B0A" w:rsidP="00BF0279">
      <w:pPr>
        <w:jc w:val="center"/>
        <w:rPr>
          <w:rFonts w:ascii="Arial" w:hAnsi="Arial" w:cs="Arial"/>
          <w:b/>
          <w:sz w:val="20"/>
          <w:szCs w:val="20"/>
          <w:lang w:val="az-Latn-AZ"/>
        </w:rPr>
      </w:pPr>
      <w:r w:rsidRPr="001A4B0A">
        <w:rPr>
          <w:rFonts w:ascii="Arial" w:eastAsia="Arial" w:hAnsi="Arial" w:cs="Arial"/>
          <w:b/>
          <w:sz w:val="24"/>
          <w:szCs w:val="24"/>
          <w:lang w:val="en-US" w:eastAsia="ru-RU"/>
        </w:rPr>
        <w:t>AZERBAIJAN CASPIAN SHIPPING CLOSED JOINT STOCK COMPANY IS ANNOUNCING OPEN BIDDING FOR T</w:t>
      </w:r>
      <w:r w:rsidRPr="001A4B0A">
        <w:rPr>
          <w:rFonts w:ascii="Arial" w:eastAsia="Arial" w:hAnsi="Arial" w:cs="Arial"/>
          <w:b/>
          <w:sz w:val="24"/>
          <w:szCs w:val="24"/>
          <w:lang w:val="en-US" w:eastAsia="ru-RU"/>
        </w:rPr>
        <w:t>HE PROCUREMENT OF PERSONAL PROTECTION EQUIPMENT REQUIRED FOR STRUCTURAL DEPARTMENTS</w:t>
      </w:r>
    </w:p>
    <w:p w:rsidR="00AE5082" w:rsidRPr="001A4B0A" w:rsidRDefault="001A4B0A" w:rsidP="00AE5082">
      <w:pPr>
        <w:spacing w:after="0" w:line="240" w:lineRule="auto"/>
        <w:jc w:val="center"/>
        <w:rPr>
          <w:rFonts w:ascii="Arial" w:hAnsi="Arial" w:cs="Arial"/>
          <w:b/>
          <w:sz w:val="24"/>
          <w:szCs w:val="24"/>
          <w:lang w:val="az-Latn-AZ" w:eastAsia="ru-RU"/>
        </w:rPr>
      </w:pPr>
      <w:r w:rsidRPr="001A4B0A">
        <w:rPr>
          <w:rFonts w:ascii="Arial" w:eastAsia="Arial" w:hAnsi="Arial" w:cs="Arial"/>
          <w:b/>
          <w:sz w:val="24"/>
          <w:szCs w:val="24"/>
          <w:lang w:val="en-US" w:eastAsia="ru-RU"/>
        </w:rPr>
        <w:t xml:space="preserve"> B I D D I N G No. AM005/2022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468F2" w:rsidRPr="001A4B0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1A4B0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1A4B0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1A4B0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1A4B0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1A4B0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1A4B0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1A4B0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to the official address of Azerbaijan Caspian Shipping CJSC (hereinafter referred to as "ASCO" or "Procuring Organization") through email address of contact person in charge b</w:t>
            </w:r>
            <w:r>
              <w:rPr>
                <w:rFonts w:ascii="Arial" w:eastAsia="Arial" w:hAnsi="Arial" w:cs="Arial"/>
                <w:sz w:val="20"/>
                <w:szCs w:val="20"/>
                <w:lang w:val="en-US" w:eastAsia="ru-RU"/>
              </w:rPr>
              <w:t xml:space="preserve">y </w:t>
            </w:r>
            <w:r w:rsidRPr="001A4B0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A4B0A">
              <w:rPr>
                <w:rFonts w:ascii="Arial" w:eastAsia="Arial" w:hAnsi="Arial" w:cs="Arial"/>
                <w:b/>
                <w:sz w:val="20"/>
                <w:szCs w:val="20"/>
                <w:lang w:val="en-US" w:eastAsia="ru-RU"/>
              </w:rPr>
              <w:t>January 22,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1A4B0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1A4B0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468F2" w:rsidRPr="001A4B0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1A4B0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1A4B0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1A4B0A"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1 - No participation fee to be provided :</w:t>
            </w:r>
            <w:r>
              <w:rPr>
                <w:rFonts w:ascii="Arial" w:eastAsia="Arial" w:hAnsi="Arial" w:cs="Arial"/>
                <w:b/>
                <w:bCs/>
                <w:sz w:val="20"/>
                <w:szCs w:val="20"/>
                <w:lang w:val="en-US" w:eastAsia="ru-RU"/>
              </w:rPr>
              <w:t xml:space="preserve">  Lot 2 - No participation fee to be provided</w:t>
            </w:r>
            <w:r>
              <w:rPr>
                <w:rFonts w:ascii="Arial" w:eastAsia="Arial" w:hAnsi="Arial" w:cs="Arial"/>
                <w:sz w:val="20"/>
                <w:szCs w:val="20"/>
                <w:lang w:val="en-US" w:eastAsia="ru-RU"/>
              </w:rPr>
              <w:t>:</w:t>
            </w:r>
            <w:r>
              <w:rPr>
                <w:rFonts w:ascii="Arial" w:eastAsia="Arial" w:hAnsi="Arial" w:cs="Arial"/>
                <w:b/>
                <w:bCs/>
                <w:sz w:val="20"/>
                <w:szCs w:val="20"/>
                <w:lang w:val="en-US" w:eastAsia="ru-RU"/>
              </w:rPr>
              <w:t xml:space="preserve">  Lot 3 - No participation fee to be provided  </w:t>
            </w:r>
            <w:r>
              <w:rPr>
                <w:rFonts w:ascii="Arial" w:eastAsia="Arial" w:hAnsi="Arial" w:cs="Arial"/>
                <w:sz w:val="20"/>
                <w:szCs w:val="20"/>
                <w:lang w:val="en-US" w:eastAsia="ru-RU"/>
              </w:rPr>
              <w:t>:</w:t>
            </w:r>
            <w:r>
              <w:rPr>
                <w:rFonts w:ascii="Arial" w:eastAsia="Arial" w:hAnsi="Arial" w:cs="Arial"/>
                <w:b/>
                <w:bCs/>
                <w:sz w:val="20"/>
                <w:szCs w:val="20"/>
                <w:lang w:val="en-US" w:eastAsia="ru-RU"/>
              </w:rPr>
              <w:t xml:space="preserve"> Lot 4 - AZN 50 (fifty).</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1A4B0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w:t>
            </w:r>
            <w:r>
              <w:rPr>
                <w:rFonts w:ascii="Arial" w:eastAsia="Arial" w:hAnsi="Arial" w:cs="Arial"/>
                <w:sz w:val="20"/>
                <w:szCs w:val="20"/>
                <w:lang w:val="en-US" w:eastAsia="ru-RU"/>
              </w:rPr>
              <w:t xml:space="preserve">nt thereof in USD or EURO.   </w:t>
            </w:r>
          </w:p>
          <w:p w:rsidR="00AE5082" w:rsidRPr="00E30035" w:rsidRDefault="001A4B0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468F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468F2" w:rsidRPr="001A4B0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The In</w:t>
                  </w:r>
                  <w:r>
                    <w:rPr>
                      <w:rFonts w:ascii="Arial" w:eastAsia="Arial" w:hAnsi="Arial" w:cs="Arial"/>
                      <w:bCs/>
                      <w:sz w:val="20"/>
                      <w:szCs w:val="20"/>
                      <w:lang w:val="en-US"/>
                    </w:rPr>
                    <w:t xml:space="preserve">ternational Bank of Azerbaijan </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1A4B0A" w:rsidRDefault="001A4B0A" w:rsidP="00E2513D">
                  <w:pPr>
                    <w:spacing w:line="240" w:lineRule="auto"/>
                    <w:rPr>
                      <w:rStyle w:val="nwt1"/>
                      <w:rFonts w:ascii="Arial" w:hAnsi="Arial" w:cs="Arial"/>
                      <w:lang w:val="en-US"/>
                    </w:rPr>
                  </w:pPr>
                  <w:r>
                    <w:rPr>
                      <w:rFonts w:ascii="Arial" w:eastAsia="Arial" w:hAnsi="Arial" w:cs="Arial"/>
                      <w:bCs/>
                      <w:sz w:val="20"/>
                      <w:szCs w:val="20"/>
                      <w:lang w:val="en-US"/>
                    </w:rPr>
                    <w:t>TAX ID : 17015</w:t>
                  </w:r>
                  <w:r>
                    <w:rPr>
                      <w:rFonts w:ascii="Arial" w:eastAsia="Arial" w:hAnsi="Arial" w:cs="Arial"/>
                      <w:bCs/>
                      <w:sz w:val="20"/>
                      <w:szCs w:val="20"/>
                      <w:lang w:val="en-US"/>
                    </w:rPr>
                    <w:t>79951</w:t>
                  </w:r>
                </w:p>
                <w:p w:rsidR="00AE5082" w:rsidRPr="001A4B0A" w:rsidRDefault="001A4B0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1A4B0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1A4B0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1A4B0A" w:rsidRDefault="001A4B0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1A4B0A" w:rsidRDefault="001A4B0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1A4B0A"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1A4B0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1A4B0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1A4B0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1A4B0A" w:rsidP="00E2513D">
                  <w:pPr>
                    <w:spacing w:line="240" w:lineRule="auto"/>
                    <w:rPr>
                      <w:rFonts w:ascii="Arial" w:hAnsi="Arial" w:cs="Arial"/>
                      <w:sz w:val="20"/>
                      <w:szCs w:val="20"/>
                      <w:lang w:val="en-US"/>
                    </w:rPr>
                  </w:pPr>
                  <w:r>
                    <w:rPr>
                      <w:rFonts w:ascii="Arial" w:eastAsia="Arial" w:hAnsi="Arial" w:cs="Arial"/>
                      <w:sz w:val="20"/>
                      <w:szCs w:val="20"/>
                      <w:lang w:val="en-US"/>
                    </w:rPr>
                    <w:t xml:space="preserve">IBA-Premier Customer </w:t>
                  </w:r>
                  <w:r>
                    <w:rPr>
                      <w:rFonts w:ascii="Arial" w:eastAsia="Arial" w:hAnsi="Arial" w:cs="Arial"/>
                      <w:sz w:val="20"/>
                      <w:szCs w:val="20"/>
                      <w:lang w:val="en-US"/>
                    </w:rPr>
                    <w:t>Service</w:t>
                  </w:r>
                </w:p>
                <w:p w:rsidR="00AE5082" w:rsidRPr="00E30035" w:rsidRDefault="001A4B0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1A4B0A"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1A4B0A" w:rsidRDefault="001A4B0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1A4B0A" w:rsidRDefault="001A4B0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1A4B0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468F2" w:rsidRPr="001A4B0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1A4B0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1A4B0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w:t>
            </w:r>
            <w:r>
              <w:rPr>
                <w:rFonts w:ascii="Arial" w:eastAsia="Arial" w:hAnsi="Arial" w:cs="Arial"/>
                <w:sz w:val="20"/>
                <w:szCs w:val="20"/>
                <w:lang w:val="en-US" w:eastAsia="ru-RU"/>
              </w:rPr>
              <w:t xml:space="preserve"> % of the bidding offer price. A bank guarantee sample shall be specified in the General Terms and Conditions. </w:t>
            </w:r>
          </w:p>
          <w:p w:rsidR="00AE5082" w:rsidRPr="00E30035" w:rsidRDefault="001A4B0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w:t>
            </w:r>
            <w:r>
              <w:rPr>
                <w:rFonts w:ascii="Arial" w:eastAsia="Arial" w:hAnsi="Arial" w:cs="Arial"/>
                <w:sz w:val="20"/>
                <w:szCs w:val="20"/>
                <w:lang w:val="en-US" w:eastAsia="ru-RU"/>
              </w:rPr>
              <w:t xml:space="preserve"> envelope along with the bidding offer.  Otherwise, the Purchasing Organization shall reserve the right to reject such offer. </w:t>
            </w:r>
          </w:p>
          <w:p w:rsidR="00AE5082" w:rsidRPr="00E30035" w:rsidRDefault="001A4B0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w:t>
            </w:r>
            <w:r>
              <w:rPr>
                <w:rFonts w:ascii="Arial" w:eastAsia="Arial" w:hAnsi="Arial" w:cs="Arial"/>
                <w:sz w:val="20"/>
                <w:szCs w:val="20"/>
                <w:lang w:val="en-US" w:eastAsia="ru-RU"/>
              </w:rPr>
              <w:t>should be acknowledged in the Republic of Azerbaijan and / or international financial transactions. The purchasing organization shall reserve the right not to accept and reject any unreliable bank guarantee.</w:t>
            </w:r>
          </w:p>
          <w:p w:rsidR="00AE5082" w:rsidRPr="00E30035" w:rsidRDefault="001A4B0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w:t>
            </w:r>
            <w:r>
              <w:rPr>
                <w:rFonts w:ascii="Arial" w:eastAsia="Arial" w:hAnsi="Arial" w:cs="Arial"/>
                <w:sz w:val="20"/>
                <w:szCs w:val="20"/>
                <w:lang w:val="en-US" w:eastAsia="ru-RU"/>
              </w:rPr>
              <w:t xml:space="preserve">ing documents, deposit and other financial assets) shall request and obtain a consent from ASCO through the contact person reflected in the announcement on the acceptability of such type of warranty.   </w:t>
            </w:r>
          </w:p>
          <w:p w:rsidR="00AE5082" w:rsidRPr="00E30035" w:rsidRDefault="001A4B0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1A4B0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1A4B0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1A4B0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468F2" w:rsidRPr="001A4B0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1A4B0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1A4B0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1A4B0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A4B0A">
              <w:rPr>
                <w:rFonts w:ascii="Arial" w:eastAsia="Arial" w:hAnsi="Arial" w:cs="Arial"/>
                <w:b/>
                <w:sz w:val="20"/>
                <w:szCs w:val="20"/>
                <w:lang w:val="en-US" w:eastAsia="ru-RU"/>
              </w:rPr>
              <w:t>January 28,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1A4B0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D468F2" w:rsidRPr="001A4B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1A4B0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1A4B0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1A4B0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1A4B0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1A4B0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1A4B0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1A4B0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1A4B0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1A4B0A"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1A4B0A"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1A4B0A"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r>
              <w:rPr>
                <w:rFonts w:ascii="Arial" w:eastAsia="Arial" w:hAnsi="Arial" w:cs="Arial"/>
                <w:color w:val="000000"/>
                <w:sz w:val="20"/>
                <w:szCs w:val="20"/>
                <w:lang w:val="en-US"/>
              </w:rPr>
              <w:t>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1A4B0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1A4B0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1A4B0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468F2" w:rsidRPr="001A4B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1A4B0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1A4B0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A4B0A">
              <w:rPr>
                <w:rFonts w:ascii="Arial" w:eastAsia="Arial" w:hAnsi="Arial" w:cs="Arial"/>
                <w:b/>
                <w:sz w:val="20"/>
                <w:szCs w:val="20"/>
                <w:lang w:val="en-US" w:eastAsia="ru-RU"/>
              </w:rPr>
              <w:t>January 31, 2022</w:t>
            </w:r>
            <w:r>
              <w:rPr>
                <w:rFonts w:ascii="Arial" w:eastAsia="Arial" w:hAnsi="Arial" w:cs="Arial"/>
                <w:sz w:val="20"/>
                <w:szCs w:val="20"/>
                <w:lang w:val="en-US" w:eastAsia="ru-RU"/>
              </w:rPr>
              <w:t xml:space="preserve"> at </w:t>
            </w:r>
            <w:r w:rsidRPr="001A4B0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1A4B0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w:t>
            </w:r>
            <w:r>
              <w:rPr>
                <w:rFonts w:ascii="Arial" w:eastAsia="Arial" w:hAnsi="Arial" w:cs="Arial"/>
                <w:sz w:val="20"/>
                <w:szCs w:val="20"/>
                <w:lang w:val="en-US" w:eastAsia="ru-RU"/>
              </w:rPr>
              <w:t>nd the ID card at least half an hour before the commencement of the bidding.</w:t>
            </w:r>
          </w:p>
        </w:tc>
      </w:tr>
      <w:tr w:rsidR="00D468F2" w:rsidRPr="001A4B0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1A4B0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1A4B0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1A4B0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1A4B0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1A4B0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1A4B0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1A4B0A"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“__”_______2022_</w:t>
      </w:r>
    </w:p>
    <w:p w:rsidR="00993E0B" w:rsidRDefault="001A4B0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1A4B0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w:t>
      </w:r>
      <w:r>
        <w:rPr>
          <w:rFonts w:ascii="Arial" w:eastAsia="Arial" w:hAnsi="Arial" w:cs="Arial"/>
          <w:bCs/>
          <w:sz w:val="24"/>
          <w:szCs w:val="24"/>
          <w:lang w:val="en-US" w:eastAsia="ru-RU"/>
        </w:rPr>
        <w:t>mittee</w:t>
      </w:r>
    </w:p>
    <w:p w:rsidR="00993E0B" w:rsidRDefault="001A4B0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1A4B0A"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w:t>
      </w:r>
      <w:r>
        <w:rPr>
          <w:rFonts w:ascii="Arial" w:eastAsia="Arial" w:hAnsi="Arial" w:cs="Arial"/>
          <w:sz w:val="24"/>
          <w:szCs w:val="24"/>
          <w:lang w:val="en-US"/>
        </w:rPr>
        <w:t>nt ] to participate  in the open bidding No.  [ bidding No. shall be inserted by participant ] announced by ASCO in respect of procurement of "__________________" .</w:t>
      </w:r>
    </w:p>
    <w:p w:rsidR="00993E0B" w:rsidRDefault="001A4B0A" w:rsidP="00993E0B">
      <w:pPr>
        <w:spacing w:after="120"/>
        <w:jc w:val="both"/>
        <w:rPr>
          <w:rFonts w:ascii="Arial" w:hAnsi="Arial" w:cs="Arial"/>
          <w:sz w:val="24"/>
          <w:szCs w:val="24"/>
          <w:lang w:val="az-Latn-AZ"/>
        </w:rPr>
      </w:pPr>
      <w:r>
        <w:rPr>
          <w:rFonts w:ascii="Arial" w:eastAsia="Arial" w:hAnsi="Arial" w:cs="Arial"/>
          <w:sz w:val="24"/>
          <w:szCs w:val="24"/>
          <w:lang w:val="en-US"/>
        </w:rPr>
        <w:t>Moreover, we c</w:t>
      </w:r>
      <w:r>
        <w:rPr>
          <w:rFonts w:ascii="Arial" w:eastAsia="Arial" w:hAnsi="Arial" w:cs="Arial"/>
          <w:sz w:val="24"/>
          <w:szCs w:val="24"/>
          <w:lang w:val="en-US"/>
        </w:rPr>
        <w:t xml:space="preserve">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1A4B0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1A4B0A" w:rsidP="00993E0B">
      <w:pPr>
        <w:spacing w:after="0"/>
        <w:jc w:val="both"/>
        <w:rPr>
          <w:rFonts w:ascii="Arial" w:hAnsi="Arial" w:cs="Arial"/>
          <w:sz w:val="24"/>
          <w:szCs w:val="24"/>
          <w:lang w:val="az-Latn-AZ"/>
        </w:rPr>
      </w:pPr>
      <w:r>
        <w:rPr>
          <w:rFonts w:ascii="Arial" w:eastAsia="Arial" w:hAnsi="Arial" w:cs="Arial"/>
          <w:sz w:val="24"/>
          <w:szCs w:val="24"/>
          <w:lang w:val="en-US"/>
        </w:rPr>
        <w:t>Below</w:t>
      </w:r>
      <w:r>
        <w:rPr>
          <w:rFonts w:ascii="Arial" w:eastAsia="Arial" w:hAnsi="Arial" w:cs="Arial"/>
          <w:sz w:val="24"/>
          <w:szCs w:val="24"/>
          <w:lang w:val="en-US"/>
        </w:rPr>
        <w:t xml:space="preserve">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1A4B0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1A4B0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1A4B0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1A4B0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1A4B0A"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1A4B0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1A4B0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1A4B0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1A4B0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1A4B0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1A4B0A"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1A4B0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TableGrid"/>
        <w:tblpPr w:leftFromText="180" w:rightFromText="180" w:vertAnchor="text" w:horzAnchor="margin" w:tblpX="-545" w:tblpY="-1439"/>
        <w:tblW w:w="10857" w:type="dxa"/>
        <w:tblLook w:val="04A0" w:firstRow="1" w:lastRow="0" w:firstColumn="1" w:lastColumn="0" w:noHBand="0" w:noVBand="1"/>
      </w:tblPr>
      <w:tblGrid>
        <w:gridCol w:w="461"/>
        <w:gridCol w:w="5873"/>
        <w:gridCol w:w="1635"/>
        <w:gridCol w:w="1109"/>
        <w:gridCol w:w="1779"/>
      </w:tblGrid>
      <w:tr w:rsidR="001A4B0A" w:rsidTr="001A4B0A">
        <w:trPr>
          <w:trHeight w:val="1260"/>
        </w:trPr>
        <w:tc>
          <w:tcPr>
            <w:tcW w:w="461" w:type="dxa"/>
            <w:noWrap/>
            <w:hideMark/>
          </w:tcPr>
          <w:p w:rsidR="001A4B0A" w:rsidRPr="00963A3D" w:rsidRDefault="001A4B0A" w:rsidP="001A4B0A">
            <w:pPr>
              <w:rPr>
                <w:rFonts w:ascii="Arial" w:hAnsi="Arial" w:cs="Arial"/>
              </w:rPr>
            </w:pPr>
            <w:r w:rsidRPr="00963A3D">
              <w:rPr>
                <w:rFonts w:ascii="Arial" w:hAnsi="Arial" w:cs="Arial"/>
              </w:rPr>
              <w:lastRenderedPageBreak/>
              <w:t>№</w:t>
            </w:r>
          </w:p>
        </w:tc>
        <w:tc>
          <w:tcPr>
            <w:tcW w:w="5873" w:type="dxa"/>
            <w:hideMark/>
          </w:tcPr>
          <w:p w:rsidR="001A4B0A" w:rsidRPr="001A4B0A" w:rsidRDefault="001A4B0A" w:rsidP="001A4B0A">
            <w:pPr>
              <w:jc w:val="center"/>
              <w:rPr>
                <w:rFonts w:ascii="Arial" w:hAnsi="Arial" w:cs="Arial"/>
                <w:b/>
                <w:bCs/>
                <w:lang w:val="en-US"/>
              </w:rPr>
            </w:pPr>
            <w:r w:rsidRPr="001A4B0A">
              <w:rPr>
                <w:rFonts w:ascii="Arial" w:eastAsia="Arial" w:hAnsi="Arial" w:cs="Arial"/>
                <w:b/>
                <w:bCs/>
                <w:lang w:val="en-US"/>
              </w:rPr>
              <w:t>Personal protective equipment and special clothing</w:t>
            </w:r>
          </w:p>
        </w:tc>
        <w:tc>
          <w:tcPr>
            <w:tcW w:w="1635" w:type="dxa"/>
            <w:noWrap/>
            <w:hideMark/>
          </w:tcPr>
          <w:p w:rsidR="001A4B0A" w:rsidRPr="001A4B0A" w:rsidRDefault="001A4B0A" w:rsidP="001A4B0A">
            <w:pPr>
              <w:jc w:val="center"/>
              <w:rPr>
                <w:rFonts w:ascii="Arial" w:hAnsi="Arial" w:cs="Arial"/>
                <w:b/>
                <w:lang w:val="az-Latn-AZ"/>
              </w:rPr>
            </w:pPr>
            <w:r w:rsidRPr="001A4B0A">
              <w:rPr>
                <w:rFonts w:ascii="Arial" w:eastAsia="Arial" w:hAnsi="Arial" w:cs="Arial"/>
                <w:b/>
                <w:lang w:val="en-US"/>
              </w:rPr>
              <w:t>Measurement unit</w:t>
            </w:r>
          </w:p>
        </w:tc>
        <w:tc>
          <w:tcPr>
            <w:tcW w:w="1109" w:type="dxa"/>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Quantity</w:t>
            </w:r>
          </w:p>
        </w:tc>
        <w:tc>
          <w:tcPr>
            <w:tcW w:w="1779" w:type="dxa"/>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Certification requirement</w:t>
            </w:r>
          </w:p>
        </w:tc>
      </w:tr>
      <w:tr w:rsidR="001A4B0A" w:rsidTr="001A4B0A">
        <w:trPr>
          <w:trHeight w:val="617"/>
        </w:trPr>
        <w:tc>
          <w:tcPr>
            <w:tcW w:w="461" w:type="dxa"/>
            <w:noWrap/>
            <w:hideMark/>
          </w:tcPr>
          <w:p w:rsidR="001A4B0A" w:rsidRPr="00963A3D" w:rsidRDefault="001A4B0A" w:rsidP="001A4B0A">
            <w:pPr>
              <w:rPr>
                <w:rFonts w:ascii="Arial" w:hAnsi="Arial" w:cs="Arial"/>
              </w:rPr>
            </w:pPr>
            <w:r w:rsidRPr="00963A3D">
              <w:rPr>
                <w:rFonts w:ascii="Arial" w:hAnsi="Arial" w:cs="Arial"/>
              </w:rPr>
              <w:t> </w:t>
            </w:r>
          </w:p>
        </w:tc>
        <w:tc>
          <w:tcPr>
            <w:tcW w:w="5873" w:type="dxa"/>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Lot 1 - Helmets</w:t>
            </w:r>
          </w:p>
        </w:tc>
        <w:tc>
          <w:tcPr>
            <w:tcW w:w="1635" w:type="dxa"/>
            <w:hideMark/>
          </w:tcPr>
          <w:p w:rsidR="001A4B0A" w:rsidRPr="00963A3D" w:rsidRDefault="001A4B0A" w:rsidP="001A4B0A">
            <w:pPr>
              <w:rPr>
                <w:rFonts w:ascii="Arial" w:hAnsi="Arial" w:cs="Arial"/>
              </w:rPr>
            </w:pPr>
            <w:r w:rsidRPr="00963A3D">
              <w:rPr>
                <w:rFonts w:ascii="Arial" w:hAnsi="Arial" w:cs="Arial"/>
              </w:rPr>
              <w:t> </w:t>
            </w:r>
          </w:p>
        </w:tc>
        <w:tc>
          <w:tcPr>
            <w:tcW w:w="1109" w:type="dxa"/>
            <w:noWrap/>
            <w:hideMark/>
          </w:tcPr>
          <w:p w:rsidR="001A4B0A" w:rsidRPr="00963A3D" w:rsidRDefault="001A4B0A" w:rsidP="001A4B0A">
            <w:pPr>
              <w:rPr>
                <w:rFonts w:ascii="Arial" w:hAnsi="Arial" w:cs="Arial"/>
              </w:rPr>
            </w:pPr>
            <w:r w:rsidRPr="00963A3D">
              <w:rPr>
                <w:rFonts w:ascii="Arial" w:hAnsi="Arial" w:cs="Arial"/>
              </w:rPr>
              <w:t> </w:t>
            </w:r>
          </w:p>
        </w:tc>
        <w:tc>
          <w:tcPr>
            <w:tcW w:w="1779" w:type="dxa"/>
            <w:noWrap/>
            <w:hideMark/>
          </w:tcPr>
          <w:p w:rsidR="001A4B0A" w:rsidRPr="00963A3D" w:rsidRDefault="001A4B0A" w:rsidP="001A4B0A">
            <w:pPr>
              <w:rPr>
                <w:rFonts w:ascii="Arial" w:hAnsi="Arial" w:cs="Arial"/>
              </w:rPr>
            </w:pPr>
            <w:r w:rsidRPr="00963A3D">
              <w:rPr>
                <w:rFonts w:ascii="Arial" w:hAnsi="Arial" w:cs="Arial"/>
              </w:rPr>
              <w:t> </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1</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yellow,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169</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2</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blue,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329</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3</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orange,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158</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4</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white,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310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5</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red,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201</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6</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dark brown,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261</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7</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Helmet green, standard: EN 397 : 2012 + A1 : 2012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80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8</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Helmet liner EN342, size: standard</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1557</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9</w:t>
            </w:r>
          </w:p>
        </w:tc>
        <w:tc>
          <w:tcPr>
            <w:tcW w:w="5873" w:type="dxa"/>
            <w:noWrap/>
            <w:hideMark/>
          </w:tcPr>
          <w:p w:rsidR="001A4B0A" w:rsidRPr="00963A3D" w:rsidRDefault="001A4B0A" w:rsidP="001A4B0A">
            <w:pPr>
              <w:rPr>
                <w:rFonts w:ascii="Arial" w:hAnsi="Arial" w:cs="Arial"/>
              </w:rPr>
            </w:pPr>
            <w:r>
              <w:rPr>
                <w:rFonts w:ascii="Arial" w:eastAsia="Arial" w:hAnsi="Arial" w:cs="Arial"/>
                <w:lang w:val="en-US"/>
              </w:rPr>
              <w:t>Helmet chain strap EN 397</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1160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Tr="001A4B0A">
        <w:trPr>
          <w:trHeight w:val="375"/>
        </w:trPr>
        <w:tc>
          <w:tcPr>
            <w:tcW w:w="461" w:type="dxa"/>
            <w:noWrap/>
            <w:hideMark/>
          </w:tcPr>
          <w:p w:rsidR="001A4B0A" w:rsidRPr="001A4B0A" w:rsidRDefault="001A4B0A" w:rsidP="001A4B0A">
            <w:pPr>
              <w:rPr>
                <w:rFonts w:ascii="Arial" w:hAnsi="Arial" w:cs="Arial"/>
                <w:lang w:val="en-US"/>
              </w:rPr>
            </w:pPr>
            <w:r w:rsidRPr="001A4B0A">
              <w:rPr>
                <w:rFonts w:ascii="Arial" w:hAnsi="Arial" w:cs="Arial"/>
                <w:lang w:val="en-US"/>
              </w:rPr>
              <w:t> </w:t>
            </w:r>
          </w:p>
        </w:tc>
        <w:tc>
          <w:tcPr>
            <w:tcW w:w="5873" w:type="dxa"/>
            <w:noWrap/>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Lot 2 - Glasses</w:t>
            </w:r>
          </w:p>
        </w:tc>
        <w:tc>
          <w:tcPr>
            <w:tcW w:w="1635" w:type="dxa"/>
            <w:hideMark/>
          </w:tcPr>
          <w:p w:rsidR="001A4B0A" w:rsidRPr="00963A3D" w:rsidRDefault="001A4B0A" w:rsidP="001A4B0A">
            <w:pPr>
              <w:jc w:val="center"/>
              <w:rPr>
                <w:rFonts w:ascii="Arial" w:hAnsi="Arial" w:cs="Arial"/>
              </w:rPr>
            </w:pPr>
          </w:p>
        </w:tc>
        <w:tc>
          <w:tcPr>
            <w:tcW w:w="1109" w:type="dxa"/>
            <w:noWrap/>
            <w:hideMark/>
          </w:tcPr>
          <w:p w:rsidR="001A4B0A" w:rsidRPr="00963A3D" w:rsidRDefault="001A4B0A" w:rsidP="001A4B0A">
            <w:pPr>
              <w:jc w:val="center"/>
              <w:rPr>
                <w:rFonts w:ascii="Arial" w:hAnsi="Arial" w:cs="Arial"/>
              </w:rPr>
            </w:pPr>
          </w:p>
        </w:tc>
        <w:tc>
          <w:tcPr>
            <w:tcW w:w="1779" w:type="dxa"/>
            <w:noWrap/>
            <w:hideMark/>
          </w:tcPr>
          <w:p w:rsidR="001A4B0A" w:rsidRPr="001A4B0A" w:rsidRDefault="001A4B0A" w:rsidP="001A4B0A">
            <w:pPr>
              <w:jc w:val="center"/>
              <w:rPr>
                <w:rFonts w:ascii="Arial" w:hAnsi="Arial" w:cs="Arial"/>
                <w:sz w:val="16"/>
                <w:szCs w:val="16"/>
              </w:rPr>
            </w:pP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1</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Noise restricting ear plug, standard:  EN 352-3:2002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1226</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2</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Disposable ear plugs, standard: EN 352-3:2002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pair</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10220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630"/>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3</w:t>
            </w:r>
          </w:p>
        </w:tc>
        <w:tc>
          <w:tcPr>
            <w:tcW w:w="5873" w:type="dxa"/>
            <w:hideMark/>
          </w:tcPr>
          <w:p w:rsidR="001A4B0A" w:rsidRPr="001A4B0A" w:rsidRDefault="001A4B0A" w:rsidP="001A4B0A">
            <w:pPr>
              <w:rPr>
                <w:rFonts w:ascii="Arial" w:hAnsi="Arial" w:cs="Arial"/>
                <w:lang w:val="en-US"/>
              </w:rPr>
            </w:pPr>
            <w:r>
              <w:rPr>
                <w:rFonts w:ascii="Arial" w:eastAsia="Arial" w:hAnsi="Arial" w:cs="Arial"/>
                <w:lang w:val="en-US"/>
              </w:rPr>
              <w:t xml:space="preserve">Protective safety glasses, transparent, size: standard, lens marking: 2C-1.2 3M 1 FT, 3М 2820, mechanical strength level: FT standard: EN 166: 2001; EN 170:1992 </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5570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630"/>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4</w:t>
            </w:r>
          </w:p>
        </w:tc>
        <w:tc>
          <w:tcPr>
            <w:tcW w:w="5873" w:type="dxa"/>
            <w:hideMark/>
          </w:tcPr>
          <w:p w:rsidR="001A4B0A" w:rsidRPr="001A4B0A" w:rsidRDefault="001A4B0A" w:rsidP="001A4B0A">
            <w:pPr>
              <w:rPr>
                <w:rFonts w:ascii="Arial" w:hAnsi="Arial" w:cs="Arial"/>
                <w:lang w:val="en-US"/>
              </w:rPr>
            </w:pPr>
            <w:r>
              <w:rPr>
                <w:rFonts w:ascii="Arial" w:eastAsia="Arial" w:hAnsi="Arial" w:cs="Arial"/>
                <w:lang w:val="en-US"/>
              </w:rPr>
              <w:t xml:space="preserve">Protective safety glasses, black, size: standard, lens marking: 5-2.5 3M 1 FT, 3М 2821, mechanical strength level: FT, standard: EN 166: 2001; EN 170:1992 </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2000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5</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Partly closed protective safety glasses, size: standard, lens marking: 2C-1.2 3M 1 F, standard: EN 166</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6</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 xml:space="preserve">Fully closed protective safety glasses, transparent, size: standard, lens marking: 2C-1.2.3M.1. K.N.BT. 9 (B), mechanical strength level: BT, standard: EN 166:2001; EN 170:1992 </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400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7</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 xml:space="preserve">Gas welding glasses, size: standard, obscuration value: 5, 3М 2845, standard: EN 149, </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30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8</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Face shield designed for finishing works, transparent, standard: EN 166 : 2002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200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9</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Face shield designed for finishing works, black, standard: EN 166 : 2002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90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lastRenderedPageBreak/>
              <w:t>10</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Face shield designed for welding works, transparent, standard: EN 379</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5015</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11</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Glass for face shield designed for welding works, black, standard: EN 379</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4015</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Tr="001A4B0A">
        <w:trPr>
          <w:trHeight w:val="375"/>
        </w:trPr>
        <w:tc>
          <w:tcPr>
            <w:tcW w:w="461" w:type="dxa"/>
            <w:noWrap/>
            <w:hideMark/>
          </w:tcPr>
          <w:p w:rsidR="001A4B0A" w:rsidRPr="001A4B0A" w:rsidRDefault="001A4B0A" w:rsidP="001A4B0A">
            <w:pPr>
              <w:rPr>
                <w:rFonts w:ascii="Arial" w:hAnsi="Arial" w:cs="Arial"/>
                <w:lang w:val="en-US"/>
              </w:rPr>
            </w:pPr>
            <w:r w:rsidRPr="001A4B0A">
              <w:rPr>
                <w:rFonts w:ascii="Arial" w:hAnsi="Arial" w:cs="Arial"/>
                <w:lang w:val="en-US"/>
              </w:rPr>
              <w:t> </w:t>
            </w:r>
          </w:p>
        </w:tc>
        <w:tc>
          <w:tcPr>
            <w:tcW w:w="5873" w:type="dxa"/>
            <w:noWrap/>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Lot 3 - Other Items</w:t>
            </w:r>
          </w:p>
        </w:tc>
        <w:tc>
          <w:tcPr>
            <w:tcW w:w="1635" w:type="dxa"/>
            <w:hideMark/>
          </w:tcPr>
          <w:p w:rsidR="001A4B0A" w:rsidRPr="00963A3D" w:rsidRDefault="001A4B0A" w:rsidP="001A4B0A">
            <w:pPr>
              <w:jc w:val="center"/>
              <w:rPr>
                <w:rFonts w:ascii="Arial" w:hAnsi="Arial" w:cs="Arial"/>
              </w:rPr>
            </w:pPr>
          </w:p>
        </w:tc>
        <w:tc>
          <w:tcPr>
            <w:tcW w:w="1109" w:type="dxa"/>
            <w:noWrap/>
            <w:hideMark/>
          </w:tcPr>
          <w:p w:rsidR="001A4B0A" w:rsidRPr="00963A3D" w:rsidRDefault="001A4B0A" w:rsidP="001A4B0A">
            <w:pPr>
              <w:jc w:val="center"/>
              <w:rPr>
                <w:rFonts w:ascii="Arial" w:hAnsi="Arial" w:cs="Arial"/>
              </w:rPr>
            </w:pPr>
          </w:p>
        </w:tc>
        <w:tc>
          <w:tcPr>
            <w:tcW w:w="1779" w:type="dxa"/>
            <w:noWrap/>
            <w:hideMark/>
          </w:tcPr>
          <w:p w:rsidR="001A4B0A" w:rsidRPr="001A4B0A" w:rsidRDefault="001A4B0A" w:rsidP="001A4B0A">
            <w:pPr>
              <w:jc w:val="center"/>
              <w:rPr>
                <w:rFonts w:ascii="Arial" w:hAnsi="Arial" w:cs="Arial"/>
                <w:sz w:val="16"/>
                <w:szCs w:val="16"/>
              </w:rPr>
            </w:pP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1</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Full body harness with 2 swiveling hooks, standard: EN 354:2010; EN 358:2018; EN 813:2008; EN 1497:2007; EN 363:2018; EN 360:2002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23</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2</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Inertia reel block (SALA BLOCK), standartd: EN 360:2002; EN 362:2004</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23</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630"/>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4</w:t>
            </w:r>
          </w:p>
        </w:tc>
        <w:tc>
          <w:tcPr>
            <w:tcW w:w="5873" w:type="dxa"/>
            <w:hideMark/>
          </w:tcPr>
          <w:p w:rsidR="001A4B0A" w:rsidRPr="001A4B0A" w:rsidRDefault="001A4B0A" w:rsidP="001A4B0A">
            <w:pPr>
              <w:rPr>
                <w:rFonts w:ascii="Arial" w:hAnsi="Arial" w:cs="Arial"/>
                <w:lang w:val="en-US"/>
              </w:rPr>
            </w:pPr>
            <w:r>
              <w:rPr>
                <w:rFonts w:ascii="Arial" w:eastAsia="Arial" w:hAnsi="Arial" w:cs="Arial"/>
                <w:lang w:val="en-US"/>
              </w:rPr>
              <w:t>Confined space rescue equipment (AK105A - aluminum tripod), standartd: ANSI Z117.1, ANSI Z117.1-1995, OSHA 1910.146, OSHA 1910.66, OSHA 1926.502</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13</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5</w:t>
            </w:r>
          </w:p>
        </w:tc>
        <w:tc>
          <w:tcPr>
            <w:tcW w:w="5873" w:type="dxa"/>
            <w:noWrap/>
            <w:hideMark/>
          </w:tcPr>
          <w:p w:rsidR="001A4B0A" w:rsidRPr="00963A3D" w:rsidRDefault="001A4B0A" w:rsidP="001A4B0A">
            <w:pPr>
              <w:rPr>
                <w:rFonts w:ascii="Arial" w:hAnsi="Arial" w:cs="Arial"/>
              </w:rPr>
            </w:pPr>
            <w:r>
              <w:rPr>
                <w:rFonts w:ascii="Arial" w:eastAsia="Arial" w:hAnsi="Arial" w:cs="Arial"/>
                <w:lang w:val="en-US"/>
              </w:rPr>
              <w:t>Safety tape (scripted)</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roll</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230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Tr="001A4B0A">
        <w:trPr>
          <w:trHeight w:val="315"/>
        </w:trPr>
        <w:tc>
          <w:tcPr>
            <w:tcW w:w="461" w:type="dxa"/>
            <w:noWrap/>
            <w:hideMark/>
          </w:tcPr>
          <w:p w:rsidR="001A4B0A" w:rsidRPr="001A4B0A" w:rsidRDefault="001A4B0A" w:rsidP="001A4B0A">
            <w:pPr>
              <w:rPr>
                <w:rFonts w:ascii="Arial" w:hAnsi="Arial" w:cs="Arial"/>
                <w:lang w:val="en-US"/>
              </w:rPr>
            </w:pPr>
            <w:r w:rsidRPr="001A4B0A">
              <w:rPr>
                <w:rFonts w:ascii="Arial" w:hAnsi="Arial" w:cs="Arial"/>
                <w:lang w:val="en-US"/>
              </w:rPr>
              <w:t> </w:t>
            </w:r>
          </w:p>
        </w:tc>
        <w:tc>
          <w:tcPr>
            <w:tcW w:w="5873" w:type="dxa"/>
            <w:noWrap/>
            <w:hideMark/>
          </w:tcPr>
          <w:p w:rsidR="001A4B0A" w:rsidRPr="001A4B0A" w:rsidRDefault="001A4B0A" w:rsidP="001A4B0A">
            <w:pPr>
              <w:jc w:val="center"/>
              <w:rPr>
                <w:rFonts w:ascii="Arial" w:hAnsi="Arial" w:cs="Arial"/>
                <w:b/>
                <w:bCs/>
              </w:rPr>
            </w:pPr>
            <w:r w:rsidRPr="001A4B0A">
              <w:rPr>
                <w:rFonts w:ascii="Arial" w:eastAsia="Arial" w:hAnsi="Arial" w:cs="Arial"/>
                <w:b/>
                <w:bCs/>
                <w:lang w:val="en-US"/>
              </w:rPr>
              <w:t>Lot 4 - Respirators</w:t>
            </w:r>
            <w:bookmarkStart w:id="0" w:name="_GoBack"/>
            <w:bookmarkEnd w:id="0"/>
          </w:p>
        </w:tc>
        <w:tc>
          <w:tcPr>
            <w:tcW w:w="1635" w:type="dxa"/>
            <w:hideMark/>
          </w:tcPr>
          <w:p w:rsidR="001A4B0A" w:rsidRPr="00963A3D" w:rsidRDefault="001A4B0A" w:rsidP="001A4B0A">
            <w:pPr>
              <w:jc w:val="center"/>
              <w:rPr>
                <w:rFonts w:ascii="Arial" w:hAnsi="Arial" w:cs="Arial"/>
              </w:rPr>
            </w:pPr>
          </w:p>
        </w:tc>
        <w:tc>
          <w:tcPr>
            <w:tcW w:w="1109" w:type="dxa"/>
            <w:noWrap/>
            <w:hideMark/>
          </w:tcPr>
          <w:p w:rsidR="001A4B0A" w:rsidRPr="00963A3D" w:rsidRDefault="001A4B0A" w:rsidP="001A4B0A">
            <w:pPr>
              <w:jc w:val="center"/>
              <w:rPr>
                <w:rFonts w:ascii="Arial" w:hAnsi="Arial" w:cs="Arial"/>
              </w:rPr>
            </w:pPr>
          </w:p>
        </w:tc>
        <w:tc>
          <w:tcPr>
            <w:tcW w:w="1779" w:type="dxa"/>
            <w:noWrap/>
            <w:hideMark/>
          </w:tcPr>
          <w:p w:rsidR="001A4B0A" w:rsidRPr="001A4B0A" w:rsidRDefault="001A4B0A" w:rsidP="001A4B0A">
            <w:pPr>
              <w:jc w:val="center"/>
              <w:rPr>
                <w:rFonts w:ascii="Arial" w:hAnsi="Arial" w:cs="Arial"/>
                <w:sz w:val="16"/>
                <w:szCs w:val="16"/>
              </w:rPr>
            </w:pP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1</w:t>
            </w:r>
          </w:p>
        </w:tc>
        <w:tc>
          <w:tcPr>
            <w:tcW w:w="5873" w:type="dxa"/>
            <w:noWrap/>
            <w:hideMark/>
          </w:tcPr>
          <w:p w:rsidR="001A4B0A" w:rsidRPr="00EF6E4A" w:rsidRDefault="001A4B0A" w:rsidP="001A4B0A">
            <w:pPr>
              <w:rPr>
                <w:rFonts w:ascii="Arial" w:hAnsi="Arial" w:cs="Arial"/>
                <w:lang w:val="en-US"/>
              </w:rPr>
            </w:pPr>
            <w:r>
              <w:rPr>
                <w:rFonts w:ascii="Arial" w:eastAsia="Arial" w:hAnsi="Arial" w:cs="Arial"/>
                <w:lang w:val="en-US"/>
              </w:rPr>
              <w:t>Respirator - semi-mask (equipped with bayonet type filter connections) size - L EN140: 1998 and ТР ТС 019/2011</w:t>
            </w:r>
          </w:p>
        </w:tc>
        <w:tc>
          <w:tcPr>
            <w:tcW w:w="1635" w:type="dxa"/>
            <w:noWrap/>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2</w:t>
            </w:r>
          </w:p>
        </w:tc>
        <w:tc>
          <w:tcPr>
            <w:tcW w:w="5873" w:type="dxa"/>
            <w:hideMark/>
          </w:tcPr>
          <w:p w:rsidR="001A4B0A" w:rsidRPr="00EF6E4A" w:rsidRDefault="001A4B0A" w:rsidP="001A4B0A">
            <w:pPr>
              <w:rPr>
                <w:rFonts w:ascii="Arial" w:hAnsi="Arial" w:cs="Arial"/>
                <w:lang w:val="en-US"/>
              </w:rPr>
            </w:pPr>
            <w:r>
              <w:rPr>
                <w:rFonts w:ascii="Arial" w:eastAsia="Arial" w:hAnsi="Arial" w:cs="Arial"/>
                <w:lang w:val="en-US"/>
              </w:rPr>
              <w:t xml:space="preserve">Safety respirator  KN95 FFP2 NR D equipped with a valve ГОСТ 12.4.294.-2015; EN 149 - 2001 + A1:2009 </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32610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3</w:t>
            </w:r>
          </w:p>
        </w:tc>
        <w:tc>
          <w:tcPr>
            <w:tcW w:w="5873" w:type="dxa"/>
            <w:noWrap/>
            <w:hideMark/>
          </w:tcPr>
          <w:p w:rsidR="001A4B0A" w:rsidRPr="00963A3D" w:rsidRDefault="001A4B0A" w:rsidP="001A4B0A">
            <w:pPr>
              <w:rPr>
                <w:rFonts w:ascii="Arial" w:hAnsi="Arial" w:cs="Arial"/>
              </w:rPr>
            </w:pPr>
            <w:r>
              <w:rPr>
                <w:rFonts w:ascii="Arial" w:eastAsia="Arial" w:hAnsi="Arial" w:cs="Arial"/>
                <w:lang w:val="en-US"/>
              </w:rPr>
              <w:t>Welding mask, standard: EN 175:1997</w:t>
            </w:r>
          </w:p>
        </w:tc>
        <w:tc>
          <w:tcPr>
            <w:tcW w:w="1635" w:type="dxa"/>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332</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r w:rsidR="001A4B0A" w:rsidRPr="001A4B0A" w:rsidTr="001A4B0A">
        <w:trPr>
          <w:trHeight w:val="315"/>
        </w:trPr>
        <w:tc>
          <w:tcPr>
            <w:tcW w:w="461" w:type="dxa"/>
            <w:noWrap/>
            <w:hideMark/>
          </w:tcPr>
          <w:p w:rsidR="001A4B0A" w:rsidRPr="00963A3D" w:rsidRDefault="001A4B0A" w:rsidP="001A4B0A">
            <w:pPr>
              <w:rPr>
                <w:rFonts w:ascii="Arial" w:hAnsi="Arial" w:cs="Arial"/>
              </w:rPr>
            </w:pPr>
            <w:r>
              <w:rPr>
                <w:rFonts w:ascii="Arial" w:eastAsia="Arial" w:hAnsi="Arial" w:cs="Arial"/>
                <w:lang w:val="en-US"/>
              </w:rPr>
              <w:t>4</w:t>
            </w:r>
          </w:p>
        </w:tc>
        <w:tc>
          <w:tcPr>
            <w:tcW w:w="5873" w:type="dxa"/>
            <w:noWrap/>
            <w:hideMark/>
          </w:tcPr>
          <w:p w:rsidR="001A4B0A" w:rsidRPr="001A4B0A" w:rsidRDefault="001A4B0A" w:rsidP="001A4B0A">
            <w:pPr>
              <w:rPr>
                <w:rFonts w:ascii="Arial" w:hAnsi="Arial" w:cs="Arial"/>
                <w:lang w:val="en-US"/>
              </w:rPr>
            </w:pPr>
            <w:r>
              <w:rPr>
                <w:rFonts w:ascii="Arial" w:eastAsia="Arial" w:hAnsi="Arial" w:cs="Arial"/>
                <w:lang w:val="en-US"/>
              </w:rPr>
              <w:t>Filters for respirator - semi-mask (bayonet type connection) P3D ТР ТС 019/2011, ГОСТ 12.4 235-2012 , ГОСТ R 12.4.190-99, ГОСТ 12.4.246.-2013, Directive 89/686/EEC, EN14387,EN 140,EN 143</w:t>
            </w:r>
          </w:p>
        </w:tc>
        <w:tc>
          <w:tcPr>
            <w:tcW w:w="1635" w:type="dxa"/>
            <w:noWrap/>
            <w:hideMark/>
          </w:tcPr>
          <w:p w:rsidR="001A4B0A" w:rsidRPr="00963A3D" w:rsidRDefault="001A4B0A" w:rsidP="001A4B0A">
            <w:pPr>
              <w:jc w:val="center"/>
              <w:rPr>
                <w:rFonts w:ascii="Arial" w:hAnsi="Arial" w:cs="Arial"/>
              </w:rPr>
            </w:pPr>
            <w:r>
              <w:rPr>
                <w:rFonts w:ascii="Arial" w:eastAsia="Arial" w:hAnsi="Arial" w:cs="Arial"/>
                <w:lang w:val="en-US"/>
              </w:rPr>
              <w:t>pcs</w:t>
            </w:r>
          </w:p>
        </w:tc>
        <w:tc>
          <w:tcPr>
            <w:tcW w:w="1109" w:type="dxa"/>
            <w:noWrap/>
            <w:hideMark/>
          </w:tcPr>
          <w:p w:rsidR="001A4B0A" w:rsidRPr="00963A3D" w:rsidRDefault="001A4B0A" w:rsidP="001A4B0A">
            <w:pPr>
              <w:jc w:val="center"/>
              <w:rPr>
                <w:rFonts w:ascii="Arial" w:hAnsi="Arial" w:cs="Arial"/>
              </w:rPr>
            </w:pPr>
            <w:r>
              <w:rPr>
                <w:rFonts w:ascii="Arial" w:eastAsia="Arial" w:hAnsi="Arial" w:cs="Arial"/>
                <w:lang w:val="en-US"/>
              </w:rPr>
              <w:t>220</w:t>
            </w:r>
          </w:p>
        </w:tc>
        <w:tc>
          <w:tcPr>
            <w:tcW w:w="1779" w:type="dxa"/>
            <w:noWrap/>
            <w:hideMark/>
          </w:tcPr>
          <w:p w:rsidR="001A4B0A" w:rsidRPr="001A4B0A" w:rsidRDefault="001A4B0A" w:rsidP="001A4B0A">
            <w:pPr>
              <w:jc w:val="center"/>
              <w:rPr>
                <w:rFonts w:ascii="Arial" w:hAnsi="Arial" w:cs="Arial"/>
                <w:sz w:val="16"/>
                <w:szCs w:val="16"/>
                <w:lang w:val="en-US"/>
              </w:rPr>
            </w:pPr>
            <w:r w:rsidRPr="001A4B0A">
              <w:rPr>
                <w:rFonts w:ascii="Arial" w:eastAsia="Arial" w:hAnsi="Arial" w:cs="Arial"/>
                <w:sz w:val="16"/>
                <w:szCs w:val="16"/>
                <w:lang w:val="en-US"/>
              </w:rPr>
              <w:t>Certificate of conformity, quality and testing</w:t>
            </w:r>
          </w:p>
        </w:tc>
      </w:tr>
    </w:tbl>
    <w:p w:rsidR="00AC64C7" w:rsidRPr="001A4B0A" w:rsidRDefault="001A4B0A" w:rsidP="00993E0B">
      <w:pPr>
        <w:rPr>
          <w:rFonts w:ascii="Arial" w:hAnsi="Arial" w:cs="Arial"/>
          <w:b/>
          <w:sz w:val="24"/>
          <w:szCs w:val="24"/>
          <w:lang w:val="en-US"/>
        </w:rPr>
      </w:pPr>
      <w:r>
        <w:rPr>
          <w:rFonts w:ascii="Arial" w:eastAsia="Arial" w:hAnsi="Arial" w:cs="Arial"/>
          <w:sz w:val="24"/>
          <w:szCs w:val="24"/>
          <w:lang w:val="en-US"/>
        </w:rPr>
        <w:lastRenderedPageBreak/>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sz w:val="24"/>
          <w:szCs w:val="24"/>
          <w:lang w:val="en-US"/>
        </w:rPr>
        <w:t xml:space="preserve">                           </w:t>
      </w:r>
    </w:p>
    <w:p w:rsidR="00993E0B" w:rsidRPr="00C243D3" w:rsidRDefault="001A4B0A"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For tec</w:t>
      </w:r>
      <w:r>
        <w:rPr>
          <w:rFonts w:ascii="Arial" w:eastAsia="Arial" w:hAnsi="Arial" w:cs="Arial"/>
          <w:b/>
          <w:bCs/>
          <w:sz w:val="20"/>
          <w:szCs w:val="20"/>
          <w:lang w:val="en-US"/>
        </w:rPr>
        <w:t>hnical questions please contact</w:t>
      </w:r>
    </w:p>
    <w:p w:rsidR="00923D30" w:rsidRPr="00C243D3" w:rsidRDefault="001A4B0A"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1A4B0A"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1A4B0A" w:rsidRPr="001A4B0A" w:rsidRDefault="001A4B0A" w:rsidP="001A4B0A">
      <w:pPr>
        <w:spacing w:line="240" w:lineRule="auto"/>
        <w:jc w:val="center"/>
        <w:rPr>
          <w:rStyle w:val="Hyperlink"/>
          <w:rFonts w:ascii="Arial" w:eastAsia="Arial" w:hAnsi="Arial" w:cs="Arial"/>
          <w:color w:val="auto"/>
          <w:sz w:val="20"/>
          <w:szCs w:val="20"/>
          <w:u w:val="none"/>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F363BB">
          <w:rPr>
            <w:rStyle w:val="Hyperlink"/>
            <w:rFonts w:ascii="Arial" w:eastAsia="Arial" w:hAnsi="Arial" w:cs="Arial"/>
            <w:sz w:val="20"/>
            <w:szCs w:val="20"/>
            <w:shd w:val="clear" w:color="auto" w:fill="FAFAFA"/>
            <w:lang w:val="en-US"/>
          </w:rPr>
          <w:t>zaur.salamov@asco.az</w:t>
        </w:r>
      </w:hyperlink>
    </w:p>
    <w:p w:rsidR="00993E0B" w:rsidRPr="00993E0B" w:rsidRDefault="001A4B0A"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rsidR="00993E0B" w:rsidRPr="00993E0B" w:rsidRDefault="001A4B0A"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later </w:t>
      </w:r>
      <w:r>
        <w:rPr>
          <w:rFonts w:ascii="Arial" w:eastAsia="Arial" w:hAnsi="Arial" w:cs="Arial"/>
          <w:sz w:val="20"/>
          <w:szCs w:val="20"/>
          <w:lang w:val="en-US"/>
        </w:rPr>
        <w:t>than last 1 month)</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1A4B0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1A4B0A"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FEE2C814">
      <w:start w:val="1"/>
      <w:numFmt w:val="decimal"/>
      <w:lvlText w:val="%1."/>
      <w:lvlJc w:val="left"/>
      <w:pPr>
        <w:ind w:left="360" w:hanging="360"/>
      </w:pPr>
    </w:lvl>
    <w:lvl w:ilvl="1" w:tplc="5846079A">
      <w:start w:val="1"/>
      <w:numFmt w:val="lowerLetter"/>
      <w:lvlText w:val="%2."/>
      <w:lvlJc w:val="left"/>
      <w:pPr>
        <w:ind w:left="1080" w:hanging="360"/>
      </w:pPr>
    </w:lvl>
    <w:lvl w:ilvl="2" w:tplc="F648EEE4">
      <w:start w:val="1"/>
      <w:numFmt w:val="lowerRoman"/>
      <w:lvlText w:val="%3."/>
      <w:lvlJc w:val="right"/>
      <w:pPr>
        <w:ind w:left="1800" w:hanging="180"/>
      </w:pPr>
    </w:lvl>
    <w:lvl w:ilvl="3" w:tplc="21BEBBC8">
      <w:start w:val="1"/>
      <w:numFmt w:val="decimal"/>
      <w:lvlText w:val="%4."/>
      <w:lvlJc w:val="left"/>
      <w:pPr>
        <w:ind w:left="2520" w:hanging="360"/>
      </w:pPr>
    </w:lvl>
    <w:lvl w:ilvl="4" w:tplc="9AC8663E">
      <w:start w:val="1"/>
      <w:numFmt w:val="lowerLetter"/>
      <w:lvlText w:val="%5."/>
      <w:lvlJc w:val="left"/>
      <w:pPr>
        <w:ind w:left="3240" w:hanging="360"/>
      </w:pPr>
    </w:lvl>
    <w:lvl w:ilvl="5" w:tplc="BA7A79D4">
      <w:start w:val="1"/>
      <w:numFmt w:val="lowerRoman"/>
      <w:lvlText w:val="%6."/>
      <w:lvlJc w:val="right"/>
      <w:pPr>
        <w:ind w:left="3960" w:hanging="180"/>
      </w:pPr>
    </w:lvl>
    <w:lvl w:ilvl="6" w:tplc="1E8678E6">
      <w:start w:val="1"/>
      <w:numFmt w:val="decimal"/>
      <w:lvlText w:val="%7."/>
      <w:lvlJc w:val="left"/>
      <w:pPr>
        <w:ind w:left="4680" w:hanging="360"/>
      </w:pPr>
    </w:lvl>
    <w:lvl w:ilvl="7" w:tplc="7B9C9170">
      <w:start w:val="1"/>
      <w:numFmt w:val="lowerLetter"/>
      <w:lvlText w:val="%8."/>
      <w:lvlJc w:val="left"/>
      <w:pPr>
        <w:ind w:left="5400" w:hanging="360"/>
      </w:pPr>
    </w:lvl>
    <w:lvl w:ilvl="8" w:tplc="FD427756">
      <w:start w:val="1"/>
      <w:numFmt w:val="lowerRoman"/>
      <w:lvlText w:val="%9."/>
      <w:lvlJc w:val="right"/>
      <w:pPr>
        <w:ind w:left="6120" w:hanging="180"/>
      </w:pPr>
    </w:lvl>
  </w:abstractNum>
  <w:abstractNum w:abstractNumId="1">
    <w:nsid w:val="2B97027F"/>
    <w:multiLevelType w:val="hybridMultilevel"/>
    <w:tmpl w:val="D1683618"/>
    <w:lvl w:ilvl="0" w:tplc="A086DF50">
      <w:start w:val="1"/>
      <w:numFmt w:val="bullet"/>
      <w:lvlText w:val=""/>
      <w:lvlJc w:val="left"/>
      <w:pPr>
        <w:ind w:left="720" w:hanging="360"/>
      </w:pPr>
      <w:rPr>
        <w:rFonts w:ascii="Symbol" w:hAnsi="Symbol" w:hint="default"/>
      </w:rPr>
    </w:lvl>
    <w:lvl w:ilvl="1" w:tplc="A59CC3F6">
      <w:start w:val="1"/>
      <w:numFmt w:val="bullet"/>
      <w:lvlText w:val="o"/>
      <w:lvlJc w:val="left"/>
      <w:pPr>
        <w:ind w:left="1440" w:hanging="360"/>
      </w:pPr>
      <w:rPr>
        <w:rFonts w:ascii="Courier New" w:hAnsi="Courier New" w:cs="Courier New" w:hint="default"/>
      </w:rPr>
    </w:lvl>
    <w:lvl w:ilvl="2" w:tplc="6BCE37DC">
      <w:start w:val="1"/>
      <w:numFmt w:val="bullet"/>
      <w:lvlText w:val=""/>
      <w:lvlJc w:val="left"/>
      <w:pPr>
        <w:ind w:left="2160" w:hanging="360"/>
      </w:pPr>
      <w:rPr>
        <w:rFonts w:ascii="Wingdings" w:hAnsi="Wingdings" w:hint="default"/>
      </w:rPr>
    </w:lvl>
    <w:lvl w:ilvl="3" w:tplc="7DFA5AD8">
      <w:start w:val="1"/>
      <w:numFmt w:val="bullet"/>
      <w:lvlText w:val=""/>
      <w:lvlJc w:val="left"/>
      <w:pPr>
        <w:ind w:left="2880" w:hanging="360"/>
      </w:pPr>
      <w:rPr>
        <w:rFonts w:ascii="Symbol" w:hAnsi="Symbol" w:hint="default"/>
      </w:rPr>
    </w:lvl>
    <w:lvl w:ilvl="4" w:tplc="A3B875D4">
      <w:start w:val="1"/>
      <w:numFmt w:val="bullet"/>
      <w:lvlText w:val="o"/>
      <w:lvlJc w:val="left"/>
      <w:pPr>
        <w:ind w:left="3600" w:hanging="360"/>
      </w:pPr>
      <w:rPr>
        <w:rFonts w:ascii="Courier New" w:hAnsi="Courier New" w:cs="Courier New" w:hint="default"/>
      </w:rPr>
    </w:lvl>
    <w:lvl w:ilvl="5" w:tplc="DF5EB5CC">
      <w:start w:val="1"/>
      <w:numFmt w:val="bullet"/>
      <w:lvlText w:val=""/>
      <w:lvlJc w:val="left"/>
      <w:pPr>
        <w:ind w:left="4320" w:hanging="360"/>
      </w:pPr>
      <w:rPr>
        <w:rFonts w:ascii="Wingdings" w:hAnsi="Wingdings" w:hint="default"/>
      </w:rPr>
    </w:lvl>
    <w:lvl w:ilvl="6" w:tplc="F392AF26">
      <w:start w:val="1"/>
      <w:numFmt w:val="bullet"/>
      <w:lvlText w:val=""/>
      <w:lvlJc w:val="left"/>
      <w:pPr>
        <w:ind w:left="5040" w:hanging="360"/>
      </w:pPr>
      <w:rPr>
        <w:rFonts w:ascii="Symbol" w:hAnsi="Symbol" w:hint="default"/>
      </w:rPr>
    </w:lvl>
    <w:lvl w:ilvl="7" w:tplc="BB5C705C">
      <w:start w:val="1"/>
      <w:numFmt w:val="bullet"/>
      <w:lvlText w:val="o"/>
      <w:lvlJc w:val="left"/>
      <w:pPr>
        <w:ind w:left="5760" w:hanging="360"/>
      </w:pPr>
      <w:rPr>
        <w:rFonts w:ascii="Courier New" w:hAnsi="Courier New" w:cs="Courier New" w:hint="default"/>
      </w:rPr>
    </w:lvl>
    <w:lvl w:ilvl="8" w:tplc="E794A7E8">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9DB6EB60">
      <w:start w:val="1"/>
      <w:numFmt w:val="bullet"/>
      <w:lvlText w:val=""/>
      <w:lvlJc w:val="left"/>
      <w:pPr>
        <w:ind w:left="720" w:hanging="360"/>
      </w:pPr>
      <w:rPr>
        <w:rFonts w:ascii="Wingdings" w:hAnsi="Wingdings" w:hint="default"/>
      </w:rPr>
    </w:lvl>
    <w:lvl w:ilvl="1" w:tplc="53C4E720">
      <w:start w:val="1"/>
      <w:numFmt w:val="bullet"/>
      <w:lvlText w:val="o"/>
      <w:lvlJc w:val="left"/>
      <w:pPr>
        <w:ind w:left="1440" w:hanging="360"/>
      </w:pPr>
      <w:rPr>
        <w:rFonts w:ascii="Courier New" w:hAnsi="Courier New" w:cs="Courier New" w:hint="default"/>
      </w:rPr>
    </w:lvl>
    <w:lvl w:ilvl="2" w:tplc="475055FA">
      <w:start w:val="1"/>
      <w:numFmt w:val="bullet"/>
      <w:lvlText w:val=""/>
      <w:lvlJc w:val="left"/>
      <w:pPr>
        <w:ind w:left="2160" w:hanging="360"/>
      </w:pPr>
      <w:rPr>
        <w:rFonts w:ascii="Wingdings" w:hAnsi="Wingdings" w:hint="default"/>
      </w:rPr>
    </w:lvl>
    <w:lvl w:ilvl="3" w:tplc="E20EB86A">
      <w:start w:val="1"/>
      <w:numFmt w:val="bullet"/>
      <w:lvlText w:val=""/>
      <w:lvlJc w:val="left"/>
      <w:pPr>
        <w:ind w:left="2880" w:hanging="360"/>
      </w:pPr>
      <w:rPr>
        <w:rFonts w:ascii="Symbol" w:hAnsi="Symbol" w:hint="default"/>
      </w:rPr>
    </w:lvl>
    <w:lvl w:ilvl="4" w:tplc="73F26E4A">
      <w:start w:val="1"/>
      <w:numFmt w:val="bullet"/>
      <w:lvlText w:val="o"/>
      <w:lvlJc w:val="left"/>
      <w:pPr>
        <w:ind w:left="3600" w:hanging="360"/>
      </w:pPr>
      <w:rPr>
        <w:rFonts w:ascii="Courier New" w:hAnsi="Courier New" w:cs="Courier New" w:hint="default"/>
      </w:rPr>
    </w:lvl>
    <w:lvl w:ilvl="5" w:tplc="73DC2E36">
      <w:start w:val="1"/>
      <w:numFmt w:val="bullet"/>
      <w:lvlText w:val=""/>
      <w:lvlJc w:val="left"/>
      <w:pPr>
        <w:ind w:left="4320" w:hanging="360"/>
      </w:pPr>
      <w:rPr>
        <w:rFonts w:ascii="Wingdings" w:hAnsi="Wingdings" w:hint="default"/>
      </w:rPr>
    </w:lvl>
    <w:lvl w:ilvl="6" w:tplc="506813A8">
      <w:start w:val="1"/>
      <w:numFmt w:val="bullet"/>
      <w:lvlText w:val=""/>
      <w:lvlJc w:val="left"/>
      <w:pPr>
        <w:ind w:left="5040" w:hanging="360"/>
      </w:pPr>
      <w:rPr>
        <w:rFonts w:ascii="Symbol" w:hAnsi="Symbol" w:hint="default"/>
      </w:rPr>
    </w:lvl>
    <w:lvl w:ilvl="7" w:tplc="5C6646EE">
      <w:start w:val="1"/>
      <w:numFmt w:val="bullet"/>
      <w:lvlText w:val="o"/>
      <w:lvlJc w:val="left"/>
      <w:pPr>
        <w:ind w:left="5760" w:hanging="360"/>
      </w:pPr>
      <w:rPr>
        <w:rFonts w:ascii="Courier New" w:hAnsi="Courier New" w:cs="Courier New" w:hint="default"/>
      </w:rPr>
    </w:lvl>
    <w:lvl w:ilvl="8" w:tplc="A86A6974">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1AB02062">
      <w:numFmt w:val="bullet"/>
      <w:lvlText w:val="-"/>
      <w:lvlJc w:val="left"/>
      <w:pPr>
        <w:ind w:left="479" w:hanging="360"/>
      </w:pPr>
      <w:rPr>
        <w:rFonts w:ascii="Arial" w:eastAsiaTheme="minorHAnsi" w:hAnsi="Arial" w:cs="Arial" w:hint="default"/>
      </w:rPr>
    </w:lvl>
    <w:lvl w:ilvl="1" w:tplc="9684C1B8" w:tentative="1">
      <w:start w:val="1"/>
      <w:numFmt w:val="bullet"/>
      <w:lvlText w:val="o"/>
      <w:lvlJc w:val="left"/>
      <w:pPr>
        <w:ind w:left="1199" w:hanging="360"/>
      </w:pPr>
      <w:rPr>
        <w:rFonts w:ascii="Courier New" w:hAnsi="Courier New" w:cs="Courier New" w:hint="default"/>
      </w:rPr>
    </w:lvl>
    <w:lvl w:ilvl="2" w:tplc="68A60C3C" w:tentative="1">
      <w:start w:val="1"/>
      <w:numFmt w:val="bullet"/>
      <w:lvlText w:val=""/>
      <w:lvlJc w:val="left"/>
      <w:pPr>
        <w:ind w:left="1919" w:hanging="360"/>
      </w:pPr>
      <w:rPr>
        <w:rFonts w:ascii="Wingdings" w:hAnsi="Wingdings" w:hint="default"/>
      </w:rPr>
    </w:lvl>
    <w:lvl w:ilvl="3" w:tplc="B0E61518" w:tentative="1">
      <w:start w:val="1"/>
      <w:numFmt w:val="bullet"/>
      <w:lvlText w:val=""/>
      <w:lvlJc w:val="left"/>
      <w:pPr>
        <w:ind w:left="2639" w:hanging="360"/>
      </w:pPr>
      <w:rPr>
        <w:rFonts w:ascii="Symbol" w:hAnsi="Symbol" w:hint="default"/>
      </w:rPr>
    </w:lvl>
    <w:lvl w:ilvl="4" w:tplc="AEDCC800" w:tentative="1">
      <w:start w:val="1"/>
      <w:numFmt w:val="bullet"/>
      <w:lvlText w:val="o"/>
      <w:lvlJc w:val="left"/>
      <w:pPr>
        <w:ind w:left="3359" w:hanging="360"/>
      </w:pPr>
      <w:rPr>
        <w:rFonts w:ascii="Courier New" w:hAnsi="Courier New" w:cs="Courier New" w:hint="default"/>
      </w:rPr>
    </w:lvl>
    <w:lvl w:ilvl="5" w:tplc="5596F08E" w:tentative="1">
      <w:start w:val="1"/>
      <w:numFmt w:val="bullet"/>
      <w:lvlText w:val=""/>
      <w:lvlJc w:val="left"/>
      <w:pPr>
        <w:ind w:left="4079" w:hanging="360"/>
      </w:pPr>
      <w:rPr>
        <w:rFonts w:ascii="Wingdings" w:hAnsi="Wingdings" w:hint="default"/>
      </w:rPr>
    </w:lvl>
    <w:lvl w:ilvl="6" w:tplc="02667B10" w:tentative="1">
      <w:start w:val="1"/>
      <w:numFmt w:val="bullet"/>
      <w:lvlText w:val=""/>
      <w:lvlJc w:val="left"/>
      <w:pPr>
        <w:ind w:left="4799" w:hanging="360"/>
      </w:pPr>
      <w:rPr>
        <w:rFonts w:ascii="Symbol" w:hAnsi="Symbol" w:hint="default"/>
      </w:rPr>
    </w:lvl>
    <w:lvl w:ilvl="7" w:tplc="90FA398C" w:tentative="1">
      <w:start w:val="1"/>
      <w:numFmt w:val="bullet"/>
      <w:lvlText w:val="o"/>
      <w:lvlJc w:val="left"/>
      <w:pPr>
        <w:ind w:left="5519" w:hanging="360"/>
      </w:pPr>
      <w:rPr>
        <w:rFonts w:ascii="Courier New" w:hAnsi="Courier New" w:cs="Courier New" w:hint="default"/>
      </w:rPr>
    </w:lvl>
    <w:lvl w:ilvl="8" w:tplc="07EEB846"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07AA5156">
      <w:start w:val="1"/>
      <w:numFmt w:val="bullet"/>
      <w:lvlText w:val=""/>
      <w:lvlJc w:val="left"/>
      <w:pPr>
        <w:ind w:left="839" w:hanging="360"/>
      </w:pPr>
      <w:rPr>
        <w:rFonts w:ascii="Symbol" w:hAnsi="Symbol" w:hint="default"/>
      </w:rPr>
    </w:lvl>
    <w:lvl w:ilvl="1" w:tplc="A68CE498">
      <w:start w:val="1"/>
      <w:numFmt w:val="bullet"/>
      <w:lvlText w:val="o"/>
      <w:lvlJc w:val="left"/>
      <w:pPr>
        <w:ind w:left="1559" w:hanging="360"/>
      </w:pPr>
      <w:rPr>
        <w:rFonts w:ascii="Courier New" w:hAnsi="Courier New" w:cs="Courier New" w:hint="default"/>
      </w:rPr>
    </w:lvl>
    <w:lvl w:ilvl="2" w:tplc="1FDED0C2">
      <w:start w:val="1"/>
      <w:numFmt w:val="bullet"/>
      <w:lvlText w:val=""/>
      <w:lvlJc w:val="left"/>
      <w:pPr>
        <w:ind w:left="2279" w:hanging="360"/>
      </w:pPr>
      <w:rPr>
        <w:rFonts w:ascii="Wingdings" w:hAnsi="Wingdings" w:hint="default"/>
      </w:rPr>
    </w:lvl>
    <w:lvl w:ilvl="3" w:tplc="277C4230">
      <w:start w:val="1"/>
      <w:numFmt w:val="bullet"/>
      <w:lvlText w:val=""/>
      <w:lvlJc w:val="left"/>
      <w:pPr>
        <w:ind w:left="2999" w:hanging="360"/>
      </w:pPr>
      <w:rPr>
        <w:rFonts w:ascii="Symbol" w:hAnsi="Symbol" w:hint="default"/>
      </w:rPr>
    </w:lvl>
    <w:lvl w:ilvl="4" w:tplc="85F21278">
      <w:start w:val="1"/>
      <w:numFmt w:val="bullet"/>
      <w:lvlText w:val="o"/>
      <w:lvlJc w:val="left"/>
      <w:pPr>
        <w:ind w:left="3719" w:hanging="360"/>
      </w:pPr>
      <w:rPr>
        <w:rFonts w:ascii="Courier New" w:hAnsi="Courier New" w:cs="Courier New" w:hint="default"/>
      </w:rPr>
    </w:lvl>
    <w:lvl w:ilvl="5" w:tplc="F4A28ABA">
      <w:start w:val="1"/>
      <w:numFmt w:val="bullet"/>
      <w:lvlText w:val=""/>
      <w:lvlJc w:val="left"/>
      <w:pPr>
        <w:ind w:left="4439" w:hanging="360"/>
      </w:pPr>
      <w:rPr>
        <w:rFonts w:ascii="Wingdings" w:hAnsi="Wingdings" w:hint="default"/>
      </w:rPr>
    </w:lvl>
    <w:lvl w:ilvl="6" w:tplc="7564EAFA">
      <w:start w:val="1"/>
      <w:numFmt w:val="bullet"/>
      <w:lvlText w:val=""/>
      <w:lvlJc w:val="left"/>
      <w:pPr>
        <w:ind w:left="5159" w:hanging="360"/>
      </w:pPr>
      <w:rPr>
        <w:rFonts w:ascii="Symbol" w:hAnsi="Symbol" w:hint="default"/>
      </w:rPr>
    </w:lvl>
    <w:lvl w:ilvl="7" w:tplc="0ED68478">
      <w:start w:val="1"/>
      <w:numFmt w:val="bullet"/>
      <w:lvlText w:val="o"/>
      <w:lvlJc w:val="left"/>
      <w:pPr>
        <w:ind w:left="5879" w:hanging="360"/>
      </w:pPr>
      <w:rPr>
        <w:rFonts w:ascii="Courier New" w:hAnsi="Courier New" w:cs="Courier New" w:hint="default"/>
      </w:rPr>
    </w:lvl>
    <w:lvl w:ilvl="8" w:tplc="5B60D4CE">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1F682D3E">
      <w:start w:val="1"/>
      <w:numFmt w:val="upperRoman"/>
      <w:lvlText w:val="%1."/>
      <w:lvlJc w:val="right"/>
      <w:pPr>
        <w:ind w:left="720" w:hanging="360"/>
      </w:pPr>
    </w:lvl>
    <w:lvl w:ilvl="1" w:tplc="F09AF6F2">
      <w:start w:val="1"/>
      <w:numFmt w:val="lowerLetter"/>
      <w:lvlText w:val="%2."/>
      <w:lvlJc w:val="left"/>
      <w:pPr>
        <w:ind w:left="1440" w:hanging="360"/>
      </w:pPr>
    </w:lvl>
    <w:lvl w:ilvl="2" w:tplc="26B8D892">
      <w:start w:val="1"/>
      <w:numFmt w:val="lowerRoman"/>
      <w:lvlText w:val="%3."/>
      <w:lvlJc w:val="right"/>
      <w:pPr>
        <w:ind w:left="2160" w:hanging="180"/>
      </w:pPr>
    </w:lvl>
    <w:lvl w:ilvl="3" w:tplc="FF249CBE">
      <w:start w:val="1"/>
      <w:numFmt w:val="decimal"/>
      <w:lvlText w:val="%4."/>
      <w:lvlJc w:val="left"/>
      <w:pPr>
        <w:ind w:left="2880" w:hanging="360"/>
      </w:pPr>
    </w:lvl>
    <w:lvl w:ilvl="4" w:tplc="9412F082">
      <w:start w:val="1"/>
      <w:numFmt w:val="lowerLetter"/>
      <w:lvlText w:val="%5."/>
      <w:lvlJc w:val="left"/>
      <w:pPr>
        <w:ind w:left="3600" w:hanging="360"/>
      </w:pPr>
    </w:lvl>
    <w:lvl w:ilvl="5" w:tplc="6BE484EE">
      <w:start w:val="1"/>
      <w:numFmt w:val="lowerRoman"/>
      <w:lvlText w:val="%6."/>
      <w:lvlJc w:val="right"/>
      <w:pPr>
        <w:ind w:left="4320" w:hanging="180"/>
      </w:pPr>
    </w:lvl>
    <w:lvl w:ilvl="6" w:tplc="25BAB094">
      <w:start w:val="1"/>
      <w:numFmt w:val="decimal"/>
      <w:lvlText w:val="%7."/>
      <w:lvlJc w:val="left"/>
      <w:pPr>
        <w:ind w:left="5040" w:hanging="360"/>
      </w:pPr>
    </w:lvl>
    <w:lvl w:ilvl="7" w:tplc="D4BA647C">
      <w:start w:val="1"/>
      <w:numFmt w:val="lowerLetter"/>
      <w:lvlText w:val="%8."/>
      <w:lvlJc w:val="left"/>
      <w:pPr>
        <w:ind w:left="5760" w:hanging="360"/>
      </w:pPr>
    </w:lvl>
    <w:lvl w:ilvl="8" w:tplc="4498F58A">
      <w:start w:val="1"/>
      <w:numFmt w:val="lowerRoman"/>
      <w:lvlText w:val="%9."/>
      <w:lvlJc w:val="right"/>
      <w:pPr>
        <w:ind w:left="6480" w:hanging="180"/>
      </w:pPr>
    </w:lvl>
  </w:abstractNum>
  <w:abstractNum w:abstractNumId="6">
    <w:nsid w:val="79226FC0"/>
    <w:multiLevelType w:val="hybridMultilevel"/>
    <w:tmpl w:val="E9EA68F0"/>
    <w:lvl w:ilvl="0" w:tplc="6576E4A0">
      <w:start w:val="1"/>
      <w:numFmt w:val="bullet"/>
      <w:lvlText w:val=""/>
      <w:lvlJc w:val="left"/>
      <w:pPr>
        <w:ind w:left="720" w:hanging="360"/>
      </w:pPr>
      <w:rPr>
        <w:rFonts w:ascii="Wingdings" w:hAnsi="Wingdings" w:hint="default"/>
      </w:rPr>
    </w:lvl>
    <w:lvl w:ilvl="1" w:tplc="7E5AA294">
      <w:start w:val="1"/>
      <w:numFmt w:val="bullet"/>
      <w:lvlText w:val="o"/>
      <w:lvlJc w:val="left"/>
      <w:pPr>
        <w:ind w:left="1440" w:hanging="360"/>
      </w:pPr>
      <w:rPr>
        <w:rFonts w:ascii="Courier New" w:hAnsi="Courier New" w:cs="Courier New" w:hint="default"/>
      </w:rPr>
    </w:lvl>
    <w:lvl w:ilvl="2" w:tplc="B3FC4088">
      <w:start w:val="1"/>
      <w:numFmt w:val="bullet"/>
      <w:lvlText w:val=""/>
      <w:lvlJc w:val="left"/>
      <w:pPr>
        <w:ind w:left="2160" w:hanging="360"/>
      </w:pPr>
      <w:rPr>
        <w:rFonts w:ascii="Wingdings" w:hAnsi="Wingdings" w:hint="default"/>
      </w:rPr>
    </w:lvl>
    <w:lvl w:ilvl="3" w:tplc="2280F53A">
      <w:start w:val="1"/>
      <w:numFmt w:val="bullet"/>
      <w:lvlText w:val=""/>
      <w:lvlJc w:val="left"/>
      <w:pPr>
        <w:ind w:left="2880" w:hanging="360"/>
      </w:pPr>
      <w:rPr>
        <w:rFonts w:ascii="Symbol" w:hAnsi="Symbol" w:hint="default"/>
      </w:rPr>
    </w:lvl>
    <w:lvl w:ilvl="4" w:tplc="55DEA762">
      <w:start w:val="1"/>
      <w:numFmt w:val="bullet"/>
      <w:lvlText w:val="o"/>
      <w:lvlJc w:val="left"/>
      <w:pPr>
        <w:ind w:left="3600" w:hanging="360"/>
      </w:pPr>
      <w:rPr>
        <w:rFonts w:ascii="Courier New" w:hAnsi="Courier New" w:cs="Courier New" w:hint="default"/>
      </w:rPr>
    </w:lvl>
    <w:lvl w:ilvl="5" w:tplc="D0E4554A">
      <w:start w:val="1"/>
      <w:numFmt w:val="bullet"/>
      <w:lvlText w:val=""/>
      <w:lvlJc w:val="left"/>
      <w:pPr>
        <w:ind w:left="4320" w:hanging="360"/>
      </w:pPr>
      <w:rPr>
        <w:rFonts w:ascii="Wingdings" w:hAnsi="Wingdings" w:hint="default"/>
      </w:rPr>
    </w:lvl>
    <w:lvl w:ilvl="6" w:tplc="63E47F62">
      <w:start w:val="1"/>
      <w:numFmt w:val="bullet"/>
      <w:lvlText w:val=""/>
      <w:lvlJc w:val="left"/>
      <w:pPr>
        <w:ind w:left="5040" w:hanging="360"/>
      </w:pPr>
      <w:rPr>
        <w:rFonts w:ascii="Symbol" w:hAnsi="Symbol" w:hint="default"/>
      </w:rPr>
    </w:lvl>
    <w:lvl w:ilvl="7" w:tplc="6742E1DA">
      <w:start w:val="1"/>
      <w:numFmt w:val="bullet"/>
      <w:lvlText w:val="o"/>
      <w:lvlJc w:val="left"/>
      <w:pPr>
        <w:ind w:left="5760" w:hanging="360"/>
      </w:pPr>
      <w:rPr>
        <w:rFonts w:ascii="Courier New" w:hAnsi="Courier New" w:cs="Courier New" w:hint="default"/>
      </w:rPr>
    </w:lvl>
    <w:lvl w:ilvl="8" w:tplc="0BF64848">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E51CF1F2">
      <w:start w:val="1"/>
      <w:numFmt w:val="bullet"/>
      <w:lvlText w:val=""/>
      <w:lvlJc w:val="left"/>
      <w:pPr>
        <w:ind w:left="720" w:hanging="360"/>
      </w:pPr>
      <w:rPr>
        <w:rFonts w:ascii="Wingdings" w:hAnsi="Wingdings" w:hint="default"/>
      </w:rPr>
    </w:lvl>
    <w:lvl w:ilvl="1" w:tplc="95C2D18A">
      <w:start w:val="1"/>
      <w:numFmt w:val="bullet"/>
      <w:lvlText w:val="o"/>
      <w:lvlJc w:val="left"/>
      <w:pPr>
        <w:ind w:left="1440" w:hanging="360"/>
      </w:pPr>
      <w:rPr>
        <w:rFonts w:ascii="Courier New" w:hAnsi="Courier New" w:cs="Courier New" w:hint="default"/>
      </w:rPr>
    </w:lvl>
    <w:lvl w:ilvl="2" w:tplc="26B2F38E">
      <w:start w:val="1"/>
      <w:numFmt w:val="bullet"/>
      <w:lvlText w:val=""/>
      <w:lvlJc w:val="left"/>
      <w:pPr>
        <w:ind w:left="2160" w:hanging="360"/>
      </w:pPr>
      <w:rPr>
        <w:rFonts w:ascii="Wingdings" w:hAnsi="Wingdings" w:hint="default"/>
      </w:rPr>
    </w:lvl>
    <w:lvl w:ilvl="3" w:tplc="16F8A936">
      <w:start w:val="1"/>
      <w:numFmt w:val="bullet"/>
      <w:lvlText w:val=""/>
      <w:lvlJc w:val="left"/>
      <w:pPr>
        <w:ind w:left="2880" w:hanging="360"/>
      </w:pPr>
      <w:rPr>
        <w:rFonts w:ascii="Symbol" w:hAnsi="Symbol" w:hint="default"/>
      </w:rPr>
    </w:lvl>
    <w:lvl w:ilvl="4" w:tplc="0876DA8A">
      <w:start w:val="1"/>
      <w:numFmt w:val="bullet"/>
      <w:lvlText w:val="o"/>
      <w:lvlJc w:val="left"/>
      <w:pPr>
        <w:ind w:left="3600" w:hanging="360"/>
      </w:pPr>
      <w:rPr>
        <w:rFonts w:ascii="Courier New" w:hAnsi="Courier New" w:cs="Courier New" w:hint="default"/>
      </w:rPr>
    </w:lvl>
    <w:lvl w:ilvl="5" w:tplc="939416C2">
      <w:start w:val="1"/>
      <w:numFmt w:val="bullet"/>
      <w:lvlText w:val=""/>
      <w:lvlJc w:val="left"/>
      <w:pPr>
        <w:ind w:left="4320" w:hanging="360"/>
      </w:pPr>
      <w:rPr>
        <w:rFonts w:ascii="Wingdings" w:hAnsi="Wingdings" w:hint="default"/>
      </w:rPr>
    </w:lvl>
    <w:lvl w:ilvl="6" w:tplc="8C865E14">
      <w:start w:val="1"/>
      <w:numFmt w:val="bullet"/>
      <w:lvlText w:val=""/>
      <w:lvlJc w:val="left"/>
      <w:pPr>
        <w:ind w:left="5040" w:hanging="360"/>
      </w:pPr>
      <w:rPr>
        <w:rFonts w:ascii="Symbol" w:hAnsi="Symbol" w:hint="default"/>
      </w:rPr>
    </w:lvl>
    <w:lvl w:ilvl="7" w:tplc="B430069A">
      <w:start w:val="1"/>
      <w:numFmt w:val="bullet"/>
      <w:lvlText w:val="o"/>
      <w:lvlJc w:val="left"/>
      <w:pPr>
        <w:ind w:left="5760" w:hanging="360"/>
      </w:pPr>
      <w:rPr>
        <w:rFonts w:ascii="Courier New" w:hAnsi="Courier New" w:cs="Courier New" w:hint="default"/>
      </w:rPr>
    </w:lvl>
    <w:lvl w:ilvl="8" w:tplc="B6D47354">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89FCF1FC">
      <w:start w:val="1"/>
      <w:numFmt w:val="decimal"/>
      <w:lvlText w:val="%1."/>
      <w:lvlJc w:val="left"/>
      <w:pPr>
        <w:ind w:left="720" w:hanging="360"/>
      </w:pPr>
    </w:lvl>
    <w:lvl w:ilvl="1" w:tplc="EDD24618">
      <w:start w:val="1"/>
      <w:numFmt w:val="lowerLetter"/>
      <w:lvlText w:val="%2."/>
      <w:lvlJc w:val="left"/>
      <w:pPr>
        <w:ind w:left="1440" w:hanging="360"/>
      </w:pPr>
    </w:lvl>
    <w:lvl w:ilvl="2" w:tplc="9E268608">
      <w:start w:val="1"/>
      <w:numFmt w:val="lowerRoman"/>
      <w:lvlText w:val="%3."/>
      <w:lvlJc w:val="right"/>
      <w:pPr>
        <w:ind w:left="2160" w:hanging="180"/>
      </w:pPr>
    </w:lvl>
    <w:lvl w:ilvl="3" w:tplc="5C1891C2">
      <w:start w:val="1"/>
      <w:numFmt w:val="decimal"/>
      <w:lvlText w:val="%4."/>
      <w:lvlJc w:val="left"/>
      <w:pPr>
        <w:ind w:left="2880" w:hanging="360"/>
      </w:pPr>
    </w:lvl>
    <w:lvl w:ilvl="4" w:tplc="6352A83C">
      <w:start w:val="1"/>
      <w:numFmt w:val="lowerLetter"/>
      <w:lvlText w:val="%5."/>
      <w:lvlJc w:val="left"/>
      <w:pPr>
        <w:ind w:left="3600" w:hanging="360"/>
      </w:pPr>
    </w:lvl>
    <w:lvl w:ilvl="5" w:tplc="84842920">
      <w:start w:val="1"/>
      <w:numFmt w:val="lowerRoman"/>
      <w:lvlText w:val="%6."/>
      <w:lvlJc w:val="right"/>
      <w:pPr>
        <w:ind w:left="4320" w:hanging="180"/>
      </w:pPr>
    </w:lvl>
    <w:lvl w:ilvl="6" w:tplc="0CE6106C">
      <w:start w:val="1"/>
      <w:numFmt w:val="decimal"/>
      <w:lvlText w:val="%7."/>
      <w:lvlJc w:val="left"/>
      <w:pPr>
        <w:ind w:left="5040" w:hanging="360"/>
      </w:pPr>
    </w:lvl>
    <w:lvl w:ilvl="7" w:tplc="4852FC2E">
      <w:start w:val="1"/>
      <w:numFmt w:val="lowerLetter"/>
      <w:lvlText w:val="%8."/>
      <w:lvlJc w:val="left"/>
      <w:pPr>
        <w:ind w:left="5760" w:hanging="360"/>
      </w:pPr>
    </w:lvl>
    <w:lvl w:ilvl="8" w:tplc="0A641FF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4B0A"/>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63A3D"/>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96DD7"/>
    <w:rsid w:val="00BF0279"/>
    <w:rsid w:val="00BF6B26"/>
    <w:rsid w:val="00BF6B7C"/>
    <w:rsid w:val="00C037CB"/>
    <w:rsid w:val="00C10026"/>
    <w:rsid w:val="00C14647"/>
    <w:rsid w:val="00C243D3"/>
    <w:rsid w:val="00C3033D"/>
    <w:rsid w:val="00C855B4"/>
    <w:rsid w:val="00C91A51"/>
    <w:rsid w:val="00CB3CA3"/>
    <w:rsid w:val="00CE3D4A"/>
    <w:rsid w:val="00D468F2"/>
    <w:rsid w:val="00D50AE4"/>
    <w:rsid w:val="00D63D00"/>
    <w:rsid w:val="00D8453D"/>
    <w:rsid w:val="00D9464D"/>
    <w:rsid w:val="00DB6356"/>
    <w:rsid w:val="00E16B3A"/>
    <w:rsid w:val="00E2513D"/>
    <w:rsid w:val="00E30035"/>
    <w:rsid w:val="00E3338C"/>
    <w:rsid w:val="00E36871"/>
    <w:rsid w:val="00E43C56"/>
    <w:rsid w:val="00E56453"/>
    <w:rsid w:val="00E838DA"/>
    <w:rsid w:val="00EB36FA"/>
    <w:rsid w:val="00EB4E07"/>
    <w:rsid w:val="00ED1AEC"/>
    <w:rsid w:val="00EE2FA3"/>
    <w:rsid w:val="00EF27F3"/>
    <w:rsid w:val="00EF6050"/>
    <w:rsid w:val="00EF6E4A"/>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2178</Words>
  <Characters>12415</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13</cp:revision>
  <dcterms:created xsi:type="dcterms:W3CDTF">2022-01-05T14:01:00Z</dcterms:created>
  <dcterms:modified xsi:type="dcterms:W3CDTF">2022-01-13T15:24:00Z</dcterms:modified>
</cp:coreProperties>
</file>