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4B599A">
        <w:rPr>
          <w:rFonts w:ascii="Arial" w:hAnsi="Arial" w:cs="Arial"/>
          <w:b/>
          <w:lang w:val="az-Latn-AZ"/>
        </w:rPr>
        <w:t>paronit, nabivka və əyləc lentlərinin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B599A">
        <w:rPr>
          <w:rFonts w:ascii="Arial" w:hAnsi="Arial" w:cs="Arial"/>
          <w:b/>
          <w:sz w:val="24"/>
          <w:szCs w:val="24"/>
          <w:lang w:val="az-Latn-AZ" w:eastAsia="ru-RU"/>
        </w:rPr>
        <w:t>AM077</w:t>
      </w:r>
      <w:r w:rsidR="0043352D">
        <w:rPr>
          <w:rFonts w:ascii="Arial" w:hAnsi="Arial" w:cs="Arial"/>
          <w:b/>
          <w:sz w:val="24"/>
          <w:szCs w:val="24"/>
          <w:lang w:val="az-Latn-AZ" w:eastAsia="ru-RU"/>
        </w:rPr>
        <w:t>-A</w:t>
      </w:r>
      <w:bookmarkStart w:id="0" w:name="_GoBack"/>
      <w:bookmarkEnd w:id="0"/>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3352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2A3777">
              <w:rPr>
                <w:rFonts w:ascii="Arial" w:hAnsi="Arial" w:cs="Arial"/>
                <w:b/>
                <w:sz w:val="20"/>
                <w:szCs w:val="20"/>
                <w:lang w:val="az-Latn-AZ" w:eastAsia="ru-RU"/>
              </w:rPr>
              <w:t xml:space="preserve"> 04</w:t>
            </w:r>
            <w:r w:rsidR="003352F2">
              <w:rPr>
                <w:rFonts w:ascii="Arial" w:hAnsi="Arial" w:cs="Arial"/>
                <w:b/>
                <w:sz w:val="20"/>
                <w:szCs w:val="20"/>
                <w:lang w:val="az-Latn-AZ" w:eastAsia="ru-RU"/>
              </w:rPr>
              <w:t xml:space="preserve"> </w:t>
            </w:r>
            <w:r w:rsidR="002A3777">
              <w:rPr>
                <w:rFonts w:ascii="Arial" w:hAnsi="Arial" w:cs="Arial"/>
                <w:b/>
                <w:sz w:val="20"/>
                <w:szCs w:val="20"/>
                <w:lang w:val="az-Latn-AZ" w:eastAsia="ru-RU"/>
              </w:rPr>
              <w:t>noy</w:t>
            </w:r>
            <w:r w:rsidR="00BF0279">
              <w:rPr>
                <w:rFonts w:ascii="Arial" w:hAnsi="Arial" w:cs="Arial"/>
                <w:b/>
                <w:sz w:val="20"/>
                <w:szCs w:val="20"/>
                <w:lang w:val="az-Latn-AZ" w:eastAsia="ru-RU"/>
              </w:rPr>
              <w:t>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3352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3352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3352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A3777">
              <w:rPr>
                <w:rFonts w:ascii="Arial" w:hAnsi="Arial" w:cs="Arial"/>
                <w:sz w:val="20"/>
                <w:szCs w:val="20"/>
                <w:lang w:val="az-Latn-AZ" w:eastAsia="ru-RU"/>
              </w:rPr>
              <w:t>10</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3352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3352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A3777">
              <w:rPr>
                <w:rFonts w:ascii="Arial" w:hAnsi="Arial" w:cs="Arial"/>
                <w:b/>
                <w:sz w:val="20"/>
                <w:szCs w:val="20"/>
                <w:lang w:val="az-Latn-AZ" w:eastAsia="ru-RU"/>
              </w:rPr>
              <w:t>11</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3352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ook w:val="04A0" w:firstRow="1" w:lastRow="0" w:firstColumn="1" w:lastColumn="0" w:noHBand="0" w:noVBand="1"/>
      </w:tblPr>
      <w:tblGrid>
        <w:gridCol w:w="574"/>
        <w:gridCol w:w="3816"/>
        <w:gridCol w:w="1439"/>
        <w:gridCol w:w="1275"/>
        <w:gridCol w:w="2977"/>
      </w:tblGrid>
      <w:tr w:rsidR="004B599A" w:rsidRPr="00280D1F" w:rsidTr="005A6BF8">
        <w:trPr>
          <w:trHeight w:val="1575"/>
        </w:trPr>
        <w:tc>
          <w:tcPr>
            <w:tcW w:w="574" w:type="dxa"/>
            <w:vMerge w:val="restart"/>
            <w:hideMark/>
          </w:tcPr>
          <w:p w:rsidR="004B599A" w:rsidRPr="008850A7" w:rsidRDefault="004B599A" w:rsidP="008850A7">
            <w:pPr>
              <w:rPr>
                <w:rFonts w:ascii="Arial" w:hAnsi="Arial" w:cs="Arial"/>
                <w:bCs/>
                <w:sz w:val="20"/>
                <w:szCs w:val="20"/>
              </w:rPr>
            </w:pPr>
            <w:r w:rsidRPr="00280D1F">
              <w:rPr>
                <w:rFonts w:ascii="Arial" w:hAnsi="Arial" w:cs="Arial"/>
                <w:bCs/>
                <w:sz w:val="20"/>
                <w:szCs w:val="20"/>
              </w:rPr>
              <w:t>№</w:t>
            </w:r>
          </w:p>
        </w:tc>
        <w:tc>
          <w:tcPr>
            <w:tcW w:w="3816" w:type="dxa"/>
            <w:vMerge w:val="restart"/>
            <w:hideMark/>
          </w:tcPr>
          <w:p w:rsidR="004B599A" w:rsidRPr="008850A7" w:rsidRDefault="004B599A" w:rsidP="008850A7">
            <w:pPr>
              <w:rPr>
                <w:rFonts w:ascii="Arial" w:hAnsi="Arial" w:cs="Arial"/>
                <w:bCs/>
                <w:sz w:val="20"/>
                <w:szCs w:val="20"/>
                <w:lang w:val="en-US"/>
              </w:rPr>
            </w:pPr>
            <w:proofErr w:type="spellStart"/>
            <w:r w:rsidRPr="004B599A">
              <w:rPr>
                <w:rFonts w:ascii="Arial" w:hAnsi="Arial" w:cs="Arial"/>
                <w:bCs/>
                <w:sz w:val="20"/>
                <w:szCs w:val="20"/>
                <w:lang w:val="en-US"/>
              </w:rPr>
              <w:t>Sahənin</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adı</w:t>
            </w:r>
            <w:proofErr w:type="spellEnd"/>
            <w:r w:rsidRPr="004B599A">
              <w:rPr>
                <w:rFonts w:ascii="Arial" w:hAnsi="Arial" w:cs="Arial"/>
                <w:bCs/>
                <w:sz w:val="20"/>
                <w:szCs w:val="20"/>
                <w:lang w:val="en-US"/>
              </w:rPr>
              <w:t xml:space="preserve"> / Mal-</w:t>
            </w:r>
            <w:proofErr w:type="spellStart"/>
            <w:r w:rsidRPr="004B599A">
              <w:rPr>
                <w:rFonts w:ascii="Arial" w:hAnsi="Arial" w:cs="Arial"/>
                <w:bCs/>
                <w:sz w:val="20"/>
                <w:szCs w:val="20"/>
                <w:lang w:val="en-US"/>
              </w:rPr>
              <w:t>materialın</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adı</w:t>
            </w:r>
            <w:proofErr w:type="spellEnd"/>
            <w:r w:rsidRPr="004B599A">
              <w:rPr>
                <w:rFonts w:ascii="Arial" w:hAnsi="Arial" w:cs="Arial"/>
                <w:bCs/>
                <w:sz w:val="20"/>
                <w:szCs w:val="20"/>
                <w:lang w:val="en-US"/>
              </w:rPr>
              <w:br/>
              <w:t xml:space="preserve">  Area's name/ Material's name</w:t>
            </w:r>
          </w:p>
        </w:tc>
        <w:tc>
          <w:tcPr>
            <w:tcW w:w="1134" w:type="dxa"/>
            <w:vMerge w:val="restart"/>
            <w:hideMark/>
          </w:tcPr>
          <w:p w:rsidR="004B599A" w:rsidRPr="008850A7" w:rsidRDefault="004B599A" w:rsidP="008850A7">
            <w:pPr>
              <w:rPr>
                <w:rFonts w:ascii="Arial" w:hAnsi="Arial" w:cs="Arial"/>
                <w:bCs/>
                <w:sz w:val="20"/>
                <w:szCs w:val="20"/>
                <w:lang w:val="en-US"/>
              </w:rPr>
            </w:pPr>
            <w:proofErr w:type="spellStart"/>
            <w:r w:rsidRPr="004B599A">
              <w:rPr>
                <w:rFonts w:ascii="Arial" w:hAnsi="Arial" w:cs="Arial"/>
                <w:bCs/>
                <w:sz w:val="20"/>
                <w:szCs w:val="20"/>
                <w:lang w:val="en-US"/>
              </w:rPr>
              <w:t>Ölçü</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vahidi</w:t>
            </w:r>
            <w:proofErr w:type="spellEnd"/>
            <w:r w:rsidRPr="004B599A">
              <w:rPr>
                <w:rFonts w:ascii="Arial" w:hAnsi="Arial" w:cs="Arial"/>
                <w:bCs/>
                <w:sz w:val="20"/>
                <w:szCs w:val="20"/>
                <w:lang w:val="en-US"/>
              </w:rPr>
              <w:t xml:space="preserve"> / Unit of measurement</w:t>
            </w:r>
          </w:p>
        </w:tc>
        <w:tc>
          <w:tcPr>
            <w:tcW w:w="1275" w:type="dxa"/>
            <w:vMerge w:val="restart"/>
            <w:hideMark/>
          </w:tcPr>
          <w:p w:rsidR="008850A7" w:rsidRDefault="004B599A" w:rsidP="005A6BF8">
            <w:pPr>
              <w:rPr>
                <w:rFonts w:ascii="Arial" w:hAnsi="Arial" w:cs="Arial"/>
                <w:bCs/>
                <w:sz w:val="20"/>
                <w:szCs w:val="20"/>
              </w:rPr>
            </w:pPr>
            <w:proofErr w:type="spellStart"/>
            <w:r w:rsidRPr="00280D1F">
              <w:rPr>
                <w:rFonts w:ascii="Arial" w:hAnsi="Arial" w:cs="Arial"/>
                <w:bCs/>
                <w:sz w:val="20"/>
                <w:szCs w:val="20"/>
              </w:rPr>
              <w:t>Cəmi</w:t>
            </w:r>
            <w:proofErr w:type="spellEnd"/>
            <w:r w:rsidRPr="00280D1F">
              <w:rPr>
                <w:rFonts w:ascii="Arial" w:hAnsi="Arial" w:cs="Arial"/>
                <w:bCs/>
                <w:sz w:val="20"/>
                <w:szCs w:val="20"/>
              </w:rPr>
              <w:br/>
            </w:r>
            <w:proofErr w:type="spellStart"/>
            <w:r w:rsidRPr="00280D1F">
              <w:rPr>
                <w:rFonts w:ascii="Arial" w:hAnsi="Arial" w:cs="Arial"/>
                <w:bCs/>
                <w:sz w:val="20"/>
                <w:szCs w:val="20"/>
              </w:rPr>
              <w:t>Total</w:t>
            </w:r>
            <w:proofErr w:type="spellEnd"/>
          </w:p>
          <w:p w:rsidR="004B599A" w:rsidRPr="008850A7" w:rsidRDefault="004B599A" w:rsidP="008850A7">
            <w:pPr>
              <w:tabs>
                <w:tab w:val="left" w:pos="780"/>
              </w:tabs>
              <w:rPr>
                <w:rFonts w:ascii="Arial" w:hAnsi="Arial" w:cs="Arial"/>
                <w:sz w:val="20"/>
                <w:szCs w:val="20"/>
              </w:rPr>
            </w:pPr>
          </w:p>
        </w:tc>
        <w:tc>
          <w:tcPr>
            <w:tcW w:w="2977" w:type="dxa"/>
            <w:vMerge w:val="restart"/>
            <w:hideMark/>
          </w:tcPr>
          <w:p w:rsidR="004B599A" w:rsidRPr="008850A7" w:rsidRDefault="004B599A" w:rsidP="008850A7">
            <w:pPr>
              <w:rPr>
                <w:rFonts w:ascii="Arial" w:hAnsi="Arial" w:cs="Arial"/>
                <w:bCs/>
                <w:sz w:val="20"/>
                <w:szCs w:val="20"/>
              </w:rPr>
            </w:pPr>
            <w:r w:rsidRPr="00280D1F">
              <w:rPr>
                <w:rFonts w:ascii="Arial" w:hAnsi="Arial" w:cs="Arial"/>
                <w:bCs/>
                <w:sz w:val="20"/>
                <w:szCs w:val="20"/>
                <w:lang w:val="az-Latn-AZ"/>
              </w:rPr>
              <w:t xml:space="preserve">Serfikat tələbi </w:t>
            </w:r>
            <w:r w:rsidRPr="00280D1F">
              <w:rPr>
                <w:rFonts w:ascii="Arial" w:hAnsi="Arial" w:cs="Arial"/>
                <w:bCs/>
                <w:sz w:val="20"/>
                <w:szCs w:val="20"/>
              </w:rPr>
              <w:t xml:space="preserve"> </w:t>
            </w:r>
          </w:p>
        </w:tc>
      </w:tr>
      <w:tr w:rsidR="004B599A" w:rsidRPr="00280D1F" w:rsidTr="008850A7">
        <w:trPr>
          <w:trHeight w:val="243"/>
        </w:trPr>
        <w:tc>
          <w:tcPr>
            <w:tcW w:w="574" w:type="dxa"/>
            <w:vMerge/>
            <w:hideMark/>
          </w:tcPr>
          <w:p w:rsidR="004B599A" w:rsidRPr="00280D1F" w:rsidRDefault="004B599A" w:rsidP="005A6BF8">
            <w:pPr>
              <w:rPr>
                <w:rFonts w:ascii="Arial" w:hAnsi="Arial" w:cs="Arial"/>
                <w:bCs/>
                <w:sz w:val="20"/>
                <w:szCs w:val="20"/>
              </w:rPr>
            </w:pPr>
          </w:p>
        </w:tc>
        <w:tc>
          <w:tcPr>
            <w:tcW w:w="3816" w:type="dxa"/>
            <w:vMerge/>
            <w:hideMark/>
          </w:tcPr>
          <w:p w:rsidR="004B599A" w:rsidRPr="00280D1F" w:rsidRDefault="004B599A" w:rsidP="005A6BF8">
            <w:pPr>
              <w:rPr>
                <w:rFonts w:ascii="Arial" w:hAnsi="Arial" w:cs="Arial"/>
                <w:bCs/>
                <w:sz w:val="20"/>
                <w:szCs w:val="20"/>
              </w:rPr>
            </w:pPr>
          </w:p>
        </w:tc>
        <w:tc>
          <w:tcPr>
            <w:tcW w:w="1134" w:type="dxa"/>
            <w:vMerge/>
            <w:hideMark/>
          </w:tcPr>
          <w:p w:rsidR="004B599A" w:rsidRPr="00280D1F" w:rsidRDefault="004B599A" w:rsidP="005A6BF8">
            <w:pPr>
              <w:rPr>
                <w:rFonts w:ascii="Arial" w:hAnsi="Arial" w:cs="Arial"/>
                <w:bCs/>
                <w:sz w:val="20"/>
                <w:szCs w:val="20"/>
              </w:rPr>
            </w:pPr>
          </w:p>
        </w:tc>
        <w:tc>
          <w:tcPr>
            <w:tcW w:w="1275" w:type="dxa"/>
            <w:vMerge/>
            <w:hideMark/>
          </w:tcPr>
          <w:p w:rsidR="004B599A" w:rsidRPr="00280D1F" w:rsidRDefault="004B599A" w:rsidP="005A6BF8">
            <w:pPr>
              <w:rPr>
                <w:rFonts w:ascii="Arial" w:hAnsi="Arial" w:cs="Arial"/>
                <w:bCs/>
                <w:sz w:val="20"/>
                <w:szCs w:val="20"/>
              </w:rPr>
            </w:pPr>
          </w:p>
        </w:tc>
        <w:tc>
          <w:tcPr>
            <w:tcW w:w="2977" w:type="dxa"/>
            <w:vMerge/>
            <w:hideMark/>
          </w:tcPr>
          <w:p w:rsidR="004B599A" w:rsidRPr="00280D1F" w:rsidRDefault="004B599A" w:rsidP="005A6BF8">
            <w:pPr>
              <w:rPr>
                <w:rFonts w:ascii="Arial" w:hAnsi="Arial" w:cs="Arial"/>
                <w:bCs/>
                <w:sz w:val="20"/>
                <w:szCs w:val="20"/>
              </w:rPr>
            </w:pPr>
          </w:p>
        </w:tc>
      </w:tr>
      <w:tr w:rsidR="004B599A" w:rsidRPr="00280D1F" w:rsidTr="005A6BF8">
        <w:trPr>
          <w:trHeight w:val="450"/>
        </w:trPr>
        <w:tc>
          <w:tcPr>
            <w:tcW w:w="574" w:type="dxa"/>
            <w:noWrap/>
            <w:hideMark/>
          </w:tcPr>
          <w:p w:rsidR="004B599A" w:rsidRPr="00280D1F" w:rsidRDefault="004B599A" w:rsidP="005A6BF8">
            <w:pPr>
              <w:rPr>
                <w:rFonts w:ascii="Arial" w:hAnsi="Arial" w:cs="Arial"/>
                <w:bCs/>
                <w:sz w:val="20"/>
                <w:szCs w:val="20"/>
              </w:rPr>
            </w:pPr>
            <w:r w:rsidRPr="00280D1F">
              <w:rPr>
                <w:rFonts w:ascii="Arial" w:hAnsi="Arial" w:cs="Arial"/>
                <w:bCs/>
                <w:sz w:val="20"/>
                <w:szCs w:val="20"/>
              </w:rPr>
              <w:t> </w:t>
            </w:r>
          </w:p>
        </w:tc>
        <w:tc>
          <w:tcPr>
            <w:tcW w:w="3816" w:type="dxa"/>
            <w:noWrap/>
            <w:hideMark/>
          </w:tcPr>
          <w:p w:rsidR="004B599A" w:rsidRPr="00280D1F" w:rsidRDefault="004B599A" w:rsidP="005A6BF8">
            <w:pPr>
              <w:rPr>
                <w:rFonts w:ascii="Arial" w:hAnsi="Arial" w:cs="Arial"/>
                <w:bCs/>
                <w:sz w:val="20"/>
                <w:szCs w:val="20"/>
              </w:rPr>
            </w:pPr>
            <w:r w:rsidRPr="00280D1F">
              <w:rPr>
                <w:rFonts w:ascii="Arial" w:hAnsi="Arial" w:cs="Arial"/>
                <w:bCs/>
                <w:sz w:val="20"/>
                <w:szCs w:val="20"/>
              </w:rPr>
              <w:t>PARОNİT,NABİVKA VƏ ƏYLƏC LENTLƏR</w:t>
            </w:r>
          </w:p>
        </w:tc>
        <w:tc>
          <w:tcPr>
            <w:tcW w:w="113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c>
          <w:tcPr>
            <w:tcW w:w="2977"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16x16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18x18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8x8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110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kəndir10x10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kəndir12x12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kəndir14x14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5152-85</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kəndir20x20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kəndir22x22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kəndir24x24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kəndir28x28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kəndir30x30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kəndir36x36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kəndir42x42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kəndir45x45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kəndir6x6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kəndir8x8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17</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44x44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18</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35x35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19</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38x38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δ=0,8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0,8х1500х1000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1,0х500х500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1,0х1500х1000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δ=1,2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1,2х1500х1000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 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3,0х1500х1000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3,0х400х300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2,0х400х300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1,0х400х400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1,0х1000х800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δ=1,5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1,5х1000х800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2,0х1000х700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2,0х1000х850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3,0х1000х850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1,0х1500х1700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2,0х1500x1700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3,0x1500x1700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4,0x1500x1700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5,0x1500x1700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δ=2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1Ф-I-МБС-С-2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δ=3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1Ф-I-МБС-С-3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900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δ=4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1Ф-I-МБС-С-4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δ=5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1Ф-I-МБС-С-5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1600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4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6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6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44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8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8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3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3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46</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4,5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47</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5,5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48</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49</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7,5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7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51</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9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9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10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10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12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12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4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6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6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56</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8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8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57</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3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3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58</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4,5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59</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5,5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61</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7,5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7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9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9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10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10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12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12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ЛАТ-1-10x100  ГОСТ 1198-93</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150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ЛАТ-1-10x150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200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ЛАТ-1-10x200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70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Əyləctəbəgəsi</w:t>
            </w:r>
            <w:proofErr w:type="spellEnd"/>
            <w:r w:rsidRPr="00280D1F">
              <w:rPr>
                <w:rFonts w:ascii="Arial" w:hAnsi="Arial" w:cs="Arial"/>
                <w:sz w:val="20"/>
                <w:szCs w:val="20"/>
              </w:rPr>
              <w:t xml:space="preserve"> 12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12 x 200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ЛАТ-1-10x200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140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ЛАТ-1-10x140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ЛАТ-2-10x120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150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ЛАТ-2-10x150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bl>
    <w:p w:rsidR="006A3DC0" w:rsidRPr="004B599A"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A3777"/>
    <w:rsid w:val="002B013F"/>
    <w:rsid w:val="002F2CF0"/>
    <w:rsid w:val="002F7C2A"/>
    <w:rsid w:val="003313D7"/>
    <w:rsid w:val="003352F2"/>
    <w:rsid w:val="00364E05"/>
    <w:rsid w:val="003843FE"/>
    <w:rsid w:val="00394F5D"/>
    <w:rsid w:val="003A2F6A"/>
    <w:rsid w:val="003C0C06"/>
    <w:rsid w:val="00400A1D"/>
    <w:rsid w:val="00430BCF"/>
    <w:rsid w:val="0043352D"/>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65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2644</Words>
  <Characters>15077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cp:revision>
  <dcterms:created xsi:type="dcterms:W3CDTF">2021-10-17T05:17:00Z</dcterms:created>
  <dcterms:modified xsi:type="dcterms:W3CDTF">2021-10-29T09:52:00Z</dcterms:modified>
</cp:coreProperties>
</file>